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C829DE">
      <w:pPr>
        <w:pStyle w:val="2"/>
        <w:keepLines/>
        <w:numPr>
          <w:ilvl w:val="0"/>
          <w:numId w:val="0"/>
        </w:numPr>
        <w:tabs>
          <w:tab w:val="left" w:pos="432"/>
          <w:tab w:val="clear" w:pos="1440"/>
        </w:tabs>
        <w:wordWrap w:val="0"/>
        <w:spacing w:line="800" w:lineRule="exact"/>
        <w:ind w:leftChars="49" w:firstLine="0" w:firstLineChars="0"/>
        <w:jc w:val="left"/>
        <w:rPr>
          <w:rFonts w:hint="eastAsia" w:cs="Times New Roman"/>
          <w:b/>
          <w:bCs/>
          <w:color w:val="auto"/>
          <w:kern w:val="44"/>
          <w:sz w:val="32"/>
          <w:szCs w:val="32"/>
          <w:highlight w:val="none"/>
          <w:lang w:val="en-US" w:eastAsia="zh-CN"/>
        </w:rPr>
      </w:pPr>
      <w:bookmarkStart w:id="0" w:name="_Toc29388"/>
      <w:bookmarkStart w:id="1" w:name="_Toc1690"/>
      <w:bookmarkStart w:id="2" w:name="_Toc229802707"/>
      <w:bookmarkStart w:id="3" w:name="_Toc230085320"/>
      <w:bookmarkStart w:id="4" w:name="_Toc246062834"/>
      <w:r>
        <w:rPr>
          <w:rFonts w:hint="eastAsia" w:cs="Times New Roman"/>
          <w:b/>
          <w:bCs/>
          <w:color w:val="auto"/>
          <w:kern w:val="44"/>
          <w:sz w:val="32"/>
          <w:szCs w:val="32"/>
          <w:highlight w:val="none"/>
          <w:lang w:val="en-US" w:eastAsia="zh-CN"/>
        </w:rPr>
        <w:t>附件1</w:t>
      </w:r>
    </w:p>
    <w:p w14:paraId="09FDB2C5">
      <w:pPr>
        <w:pStyle w:val="2"/>
        <w:keepLines/>
        <w:numPr>
          <w:ilvl w:val="0"/>
          <w:numId w:val="0"/>
        </w:numPr>
        <w:tabs>
          <w:tab w:val="left" w:pos="432"/>
          <w:tab w:val="clear" w:pos="1440"/>
        </w:tabs>
        <w:wordWrap w:val="0"/>
        <w:spacing w:line="800" w:lineRule="exact"/>
        <w:ind w:leftChars="49" w:firstLine="0" w:firstLineChars="0"/>
        <w:jc w:val="center"/>
        <w:rPr>
          <w:rFonts w:ascii="Times New Roman" w:cs="Times New Roman"/>
          <w:b/>
          <w:bCs/>
          <w:color w:val="auto"/>
          <w:kern w:val="44"/>
          <w:sz w:val="32"/>
          <w:szCs w:val="32"/>
          <w:highlight w:val="none"/>
        </w:rPr>
      </w:pPr>
      <w:r>
        <w:rPr>
          <w:rFonts w:hint="eastAsia" w:ascii="Times New Roman" w:cs="Times New Roman"/>
          <w:b/>
          <w:bCs/>
          <w:color w:val="auto"/>
          <w:kern w:val="44"/>
          <w:sz w:val="32"/>
          <w:szCs w:val="32"/>
          <w:highlight w:val="none"/>
        </w:rPr>
        <w:t>合同编号：</w:t>
      </w:r>
      <w:bookmarkEnd w:id="0"/>
      <w:bookmarkEnd w:id="1"/>
    </w:p>
    <w:p w14:paraId="2A65EFF4">
      <w:pPr>
        <w:pStyle w:val="2"/>
        <w:keepLines/>
        <w:numPr>
          <w:ilvl w:val="0"/>
          <w:numId w:val="0"/>
        </w:numPr>
        <w:tabs>
          <w:tab w:val="left" w:pos="432"/>
          <w:tab w:val="clear" w:pos="1440"/>
        </w:tabs>
        <w:wordWrap w:val="0"/>
        <w:spacing w:line="800" w:lineRule="exact"/>
        <w:rPr>
          <w:rFonts w:ascii="Times New Roman" w:cs="Times New Roman"/>
          <w:b/>
          <w:bCs/>
          <w:color w:val="auto"/>
          <w:kern w:val="44"/>
          <w:szCs w:val="52"/>
          <w:highlight w:val="none"/>
        </w:rPr>
      </w:pPr>
    </w:p>
    <w:p w14:paraId="0245E2BC">
      <w:pPr>
        <w:pStyle w:val="2"/>
        <w:keepLines/>
        <w:numPr>
          <w:ilvl w:val="0"/>
          <w:numId w:val="0"/>
        </w:numPr>
        <w:tabs>
          <w:tab w:val="left" w:pos="432"/>
          <w:tab w:val="clear" w:pos="1440"/>
        </w:tabs>
        <w:wordWrap w:val="0"/>
        <w:spacing w:line="800" w:lineRule="exact"/>
        <w:jc w:val="center"/>
        <w:rPr>
          <w:rFonts w:ascii="Times New Roman" w:cs="Times New Roman"/>
          <w:b/>
          <w:bCs/>
          <w:color w:val="auto"/>
          <w:kern w:val="44"/>
          <w:szCs w:val="52"/>
          <w:highlight w:val="none"/>
        </w:rPr>
      </w:pPr>
      <w:bookmarkStart w:id="5" w:name="_Toc3710"/>
      <w:bookmarkStart w:id="6" w:name="_Toc31876"/>
      <w:r>
        <w:rPr>
          <w:rFonts w:hint="eastAsia"/>
          <w:color w:val="auto"/>
          <w:sz w:val="72"/>
          <w:szCs w:val="72"/>
          <w:highlight w:val="none"/>
        </w:rPr>
        <w:t>桩 基 检 测 合 同</w:t>
      </w:r>
      <w:bookmarkEnd w:id="5"/>
      <w:bookmarkEnd w:id="6"/>
    </w:p>
    <w:p w14:paraId="43E9D75E">
      <w:pPr>
        <w:pStyle w:val="2"/>
        <w:keepLines/>
        <w:numPr>
          <w:ilvl w:val="0"/>
          <w:numId w:val="0"/>
        </w:numPr>
        <w:tabs>
          <w:tab w:val="left" w:pos="432"/>
          <w:tab w:val="clear" w:pos="1440"/>
        </w:tabs>
        <w:wordWrap w:val="0"/>
        <w:spacing w:line="800" w:lineRule="exact"/>
        <w:rPr>
          <w:rFonts w:ascii="仿宋_GB2312" w:hAnsi="Times New Roman" w:eastAsia="仿宋_GB2312" w:cs="Times New Roman"/>
          <w:b/>
          <w:bCs/>
          <w:color w:val="auto"/>
          <w:sz w:val="36"/>
          <w:szCs w:val="36"/>
          <w:highlight w:val="none"/>
        </w:rPr>
      </w:pPr>
    </w:p>
    <w:p w14:paraId="7340BD6F">
      <w:pPr>
        <w:pStyle w:val="6"/>
        <w:spacing w:before="240" w:beforeLines="100" w:after="240" w:afterLines="100"/>
        <w:rPr>
          <w:rFonts w:ascii="仿宋_GB2312" w:eastAsia="仿宋_GB2312"/>
          <w:b/>
          <w:bCs/>
          <w:color w:val="auto"/>
          <w:sz w:val="36"/>
          <w:szCs w:val="36"/>
          <w:highlight w:val="none"/>
        </w:rPr>
      </w:pPr>
      <w:bookmarkStart w:id="7" w:name="_Toc111885684"/>
      <w:bookmarkStart w:id="8" w:name="_Toc28733"/>
      <w:r>
        <w:rPr>
          <w:rFonts w:hint="eastAsia" w:ascii="仿宋_GB2312" w:eastAsia="仿宋_GB2312"/>
          <w:b/>
          <w:bCs/>
          <w:color w:val="auto"/>
          <w:sz w:val="36"/>
          <w:szCs w:val="36"/>
          <w:highlight w:val="none"/>
        </w:rPr>
        <w:t>项目名称：</w:t>
      </w:r>
      <w:bookmarkEnd w:id="7"/>
      <w:bookmarkEnd w:id="8"/>
      <w:r>
        <w:rPr>
          <w:rFonts w:hint="eastAsia" w:ascii="仿宋_GB2312" w:eastAsia="仿宋_GB2312"/>
          <w:b/>
          <w:bCs/>
          <w:color w:val="auto"/>
          <w:sz w:val="36"/>
          <w:szCs w:val="36"/>
          <w:highlight w:val="none"/>
          <w:u w:val="single"/>
        </w:rPr>
        <w:t xml:space="preserve"> </w:t>
      </w:r>
      <w:r>
        <w:rPr>
          <w:rFonts w:ascii="仿宋_GB2312" w:eastAsia="仿宋_GB2312"/>
          <w:b/>
          <w:bCs/>
          <w:color w:val="auto"/>
          <w:sz w:val="36"/>
          <w:szCs w:val="36"/>
          <w:highlight w:val="none"/>
          <w:u w:val="single"/>
        </w:rPr>
        <w:t xml:space="preserve">                           </w:t>
      </w:r>
      <w:r>
        <w:rPr>
          <w:rFonts w:hint="eastAsia" w:ascii="仿宋_GB2312" w:eastAsia="仿宋_GB2312"/>
          <w:b/>
          <w:bCs/>
          <w:color w:val="auto"/>
          <w:sz w:val="36"/>
          <w:szCs w:val="36"/>
          <w:highlight w:val="none"/>
        </w:rPr>
        <w:t xml:space="preserve"> </w:t>
      </w:r>
      <w:r>
        <w:rPr>
          <w:rFonts w:ascii="仿宋_GB2312" w:eastAsia="仿宋_GB2312"/>
          <w:b/>
          <w:bCs/>
          <w:color w:val="auto"/>
          <w:sz w:val="36"/>
          <w:szCs w:val="36"/>
          <w:highlight w:val="none"/>
        </w:rPr>
        <w:t xml:space="preserve">                    </w:t>
      </w:r>
      <w:r>
        <w:rPr>
          <w:rFonts w:hint="eastAsia" w:ascii="仿宋_GB2312" w:eastAsia="仿宋_GB2312"/>
          <w:b/>
          <w:bCs/>
          <w:color w:val="auto"/>
          <w:sz w:val="36"/>
          <w:szCs w:val="36"/>
          <w:highlight w:val="none"/>
        </w:rPr>
        <w:t xml:space="preserve">                        </w:t>
      </w:r>
    </w:p>
    <w:p w14:paraId="5AFF15B8">
      <w:pPr>
        <w:spacing w:before="240" w:beforeLines="100" w:after="240" w:afterLines="100" w:line="560" w:lineRule="exact"/>
        <w:rPr>
          <w:rFonts w:ascii="仿宋_GB2312" w:eastAsia="仿宋_GB2312"/>
          <w:b/>
          <w:bCs/>
          <w:color w:val="auto"/>
          <w:sz w:val="36"/>
          <w:szCs w:val="36"/>
          <w:highlight w:val="none"/>
        </w:rPr>
      </w:pPr>
      <w:bookmarkStart w:id="17" w:name="_GoBack"/>
      <w:r>
        <w:rPr>
          <w:rFonts w:ascii="仿宋_GB2312" w:eastAsia="仿宋_GB2312"/>
          <w:b/>
          <w:bCs/>
          <w:color w:val="auto"/>
          <w:sz w:val="36"/>
          <w:szCs w:val="36"/>
          <w:highlight w:val="none"/>
        </w:rPr>
        <mc:AlternateContent>
          <mc:Choice Requires="wps">
            <w:drawing>
              <wp:anchor distT="0" distB="0" distL="114300" distR="114300" simplePos="0" relativeHeight="251659264" behindDoc="0" locked="0" layoutInCell="1" allowOverlap="1">
                <wp:simplePos x="0" y="0"/>
                <wp:positionH relativeFrom="column">
                  <wp:posOffset>1371600</wp:posOffset>
                </wp:positionH>
                <wp:positionV relativeFrom="paragraph">
                  <wp:posOffset>284480</wp:posOffset>
                </wp:positionV>
                <wp:extent cx="635" cy="0"/>
                <wp:effectExtent l="0" t="4445" r="0" b="5080"/>
                <wp:wrapNone/>
                <wp:docPr id="3" name="直接连接符 3"/>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108pt;margin-top:22.4pt;height:0pt;width:0.05pt;z-index:251659264;mso-width-relative:page;mso-height-relative:page;" filled="f" stroked="t" coordsize="21600,21600" o:gfxdata="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YE&#10;gvjVAAAACQEAAA8AAAAAAAAAAQAgAAAAIgAAAGRycy9kb3ducmV2LnhtbFBLAQIUABQAAAAIAIdO&#10;4kCCuMnh7QEAAOIDAAAOAAAAAAAAAAEAIAAAACQBAABkcnMvZTJvRG9jLnhtbFBLBQYAAAAABgAG&#10;AFkBAACDBQAAAAA=&#10;">
                <v:fill on="f" focussize="0,0"/>
                <v:stroke color="#000000" joinstyle="round"/>
                <v:imagedata o:title=""/>
                <o:lock v:ext="edit" aspectratio="f"/>
              </v:line>
            </w:pict>
          </mc:Fallback>
        </mc:AlternateContent>
      </w:r>
      <w:bookmarkEnd w:id="17"/>
      <w:r>
        <w:rPr>
          <w:rFonts w:hint="eastAsia" w:ascii="仿宋_GB2312" w:eastAsia="仿宋_GB2312"/>
          <w:b/>
          <w:bCs/>
          <w:color w:val="auto"/>
          <w:sz w:val="36"/>
          <w:szCs w:val="36"/>
          <w:highlight w:val="none"/>
        </w:rPr>
        <w:t>业主单位：</w:t>
      </w:r>
      <w:r>
        <w:rPr>
          <w:rFonts w:hint="eastAsia" w:ascii="仿宋_GB2312" w:eastAsia="仿宋_GB2312"/>
          <w:b/>
          <w:bCs/>
          <w:color w:val="auto"/>
          <w:sz w:val="36"/>
          <w:szCs w:val="36"/>
          <w:highlight w:val="none"/>
          <w:u w:val="single"/>
        </w:rPr>
        <w:t xml:space="preserve"> </w:t>
      </w:r>
      <w:r>
        <w:rPr>
          <w:rFonts w:ascii="仿宋_GB2312" w:eastAsia="仿宋_GB2312"/>
          <w:b/>
          <w:bCs/>
          <w:color w:val="auto"/>
          <w:sz w:val="36"/>
          <w:szCs w:val="36"/>
          <w:highlight w:val="none"/>
          <w:u w:val="single"/>
        </w:rPr>
        <w:t xml:space="preserve">                         </w:t>
      </w:r>
      <w:r>
        <w:rPr>
          <w:rFonts w:hint="eastAsia" w:ascii="仿宋_GB2312" w:eastAsia="仿宋_GB2312"/>
          <w:b/>
          <w:bCs/>
          <w:color w:val="auto"/>
          <w:sz w:val="36"/>
          <w:szCs w:val="36"/>
          <w:highlight w:val="none"/>
        </w:rPr>
        <w:t xml:space="preserve">                  </w:t>
      </w:r>
    </w:p>
    <w:p w14:paraId="106542AA">
      <w:pPr>
        <w:pStyle w:val="6"/>
        <w:spacing w:before="240" w:beforeLines="100" w:after="240" w:afterLines="100"/>
        <w:rPr>
          <w:rFonts w:ascii="仿宋_GB2312" w:eastAsia="仿宋_GB2312"/>
          <w:b/>
          <w:bCs/>
          <w:color w:val="auto"/>
          <w:sz w:val="36"/>
          <w:szCs w:val="36"/>
          <w:highlight w:val="none"/>
        </w:rPr>
      </w:pPr>
      <w:bookmarkStart w:id="9" w:name="_Toc111885685"/>
      <w:r>
        <w:rPr>
          <w:rFonts w:hint="eastAsia" w:ascii="仿宋_GB2312" w:eastAsia="仿宋_GB2312"/>
          <w:b/>
          <w:bCs/>
          <w:color w:val="auto"/>
          <w:sz w:val="36"/>
          <w:szCs w:val="36"/>
          <w:highlight w:val="none"/>
        </w:rPr>
        <w:t>委托方（甲方）代建单位：</w:t>
      </w:r>
      <w:bookmarkEnd w:id="9"/>
      <w:r>
        <w:rPr>
          <w:rFonts w:hint="eastAsia" w:ascii="仿宋_GB2312" w:eastAsia="仿宋_GB2312"/>
          <w:b/>
          <w:bCs/>
          <w:color w:val="auto"/>
          <w:sz w:val="36"/>
          <w:szCs w:val="36"/>
          <w:highlight w:val="none"/>
          <w:u w:val="single"/>
        </w:rPr>
        <w:t xml:space="preserve"> </w:t>
      </w:r>
      <w:r>
        <w:rPr>
          <w:rFonts w:ascii="仿宋_GB2312" w:eastAsia="仿宋_GB2312"/>
          <w:b/>
          <w:bCs/>
          <w:color w:val="auto"/>
          <w:sz w:val="36"/>
          <w:szCs w:val="36"/>
          <w:highlight w:val="none"/>
          <w:u w:val="single"/>
        </w:rPr>
        <w:t xml:space="preserve">                   </w:t>
      </w:r>
      <w:r>
        <w:rPr>
          <w:rFonts w:hint="eastAsia" w:ascii="仿宋_GB2312" w:eastAsia="仿宋_GB2312"/>
          <w:b/>
          <w:bCs/>
          <w:color w:val="auto"/>
          <w:sz w:val="36"/>
          <w:szCs w:val="36"/>
          <w:highlight w:val="none"/>
        </w:rPr>
        <w:t xml:space="preserve">                    </w:t>
      </w:r>
    </w:p>
    <w:p w14:paraId="4569C2F9">
      <w:pPr>
        <w:pStyle w:val="6"/>
        <w:spacing w:before="240" w:beforeLines="100" w:after="240" w:afterLines="100"/>
        <w:rPr>
          <w:rFonts w:ascii="仿宋_GB2312" w:eastAsia="仿宋_GB2312"/>
          <w:b/>
          <w:bCs/>
          <w:color w:val="auto"/>
          <w:sz w:val="36"/>
          <w:szCs w:val="36"/>
          <w:highlight w:val="none"/>
        </w:rPr>
      </w:pPr>
      <w:bookmarkStart w:id="10" w:name="_Toc111885686"/>
      <w:r>
        <w:rPr>
          <w:rFonts w:hint="eastAsia" w:ascii="仿宋_GB2312" w:eastAsia="仿宋_GB2312"/>
          <w:b/>
          <w:bCs/>
          <w:color w:val="auto"/>
          <w:sz w:val="36"/>
          <w:szCs w:val="36"/>
          <w:highlight w:val="none"/>
        </w:rPr>
        <w:t>受托方（乙方）：</w:t>
      </w:r>
      <w:bookmarkEnd w:id="10"/>
      <w:r>
        <w:rPr>
          <w:rFonts w:hint="eastAsia" w:ascii="仿宋_GB2312" w:eastAsia="仿宋_GB2312"/>
          <w:b/>
          <w:bCs/>
          <w:color w:val="auto"/>
          <w:sz w:val="36"/>
          <w:szCs w:val="36"/>
          <w:highlight w:val="none"/>
          <w:u w:val="single"/>
        </w:rPr>
        <w:t xml:space="preserve"> </w:t>
      </w:r>
      <w:r>
        <w:rPr>
          <w:rFonts w:ascii="仿宋_GB2312" w:eastAsia="仿宋_GB2312"/>
          <w:b/>
          <w:bCs/>
          <w:color w:val="auto"/>
          <w:sz w:val="36"/>
          <w:szCs w:val="36"/>
          <w:highlight w:val="none"/>
          <w:u w:val="single"/>
        </w:rPr>
        <w:t xml:space="preserve">                    </w:t>
      </w:r>
      <w:r>
        <w:rPr>
          <w:rFonts w:hint="eastAsia" w:ascii="仿宋_GB2312" w:eastAsia="仿宋_GB2312"/>
          <w:b/>
          <w:bCs/>
          <w:color w:val="auto"/>
          <w:sz w:val="36"/>
          <w:szCs w:val="36"/>
          <w:highlight w:val="none"/>
        </w:rPr>
        <w:t xml:space="preserve">                </w:t>
      </w:r>
    </w:p>
    <w:p w14:paraId="41833D05">
      <w:pPr>
        <w:pStyle w:val="6"/>
        <w:spacing w:before="240" w:beforeLines="100" w:after="240" w:afterLines="100"/>
        <w:rPr>
          <w:rFonts w:ascii="仿宋_GB2312" w:eastAsia="仿宋_GB2312"/>
          <w:b/>
          <w:bCs/>
          <w:color w:val="auto"/>
          <w:sz w:val="36"/>
          <w:szCs w:val="36"/>
          <w:highlight w:val="none"/>
        </w:rPr>
      </w:pPr>
      <w:bookmarkStart w:id="11" w:name="_Toc111885687"/>
      <w:r>
        <w:rPr>
          <w:rFonts w:hint="eastAsia" w:ascii="仿宋_GB2312" w:eastAsia="仿宋_GB2312"/>
          <w:b/>
          <w:bCs/>
          <w:color w:val="auto"/>
          <w:sz w:val="36"/>
          <w:szCs w:val="36"/>
          <w:highlight w:val="none"/>
        </w:rPr>
        <w:t>签订时间：</w:t>
      </w:r>
      <w:bookmarkEnd w:id="11"/>
      <w:r>
        <w:rPr>
          <w:rFonts w:ascii="仿宋_GB2312" w:eastAsia="仿宋_GB2312"/>
          <w:b/>
          <w:bCs/>
          <w:color w:val="auto"/>
          <w:sz w:val="36"/>
          <w:szCs w:val="36"/>
          <w:highlight w:val="none"/>
          <w:u w:val="single"/>
        </w:rPr>
        <w:t xml:space="preserve">                       </w:t>
      </w:r>
      <w:r>
        <w:rPr>
          <w:rFonts w:hint="eastAsia" w:ascii="仿宋_GB2312" w:eastAsia="仿宋_GB2312"/>
          <w:b/>
          <w:bCs/>
          <w:color w:val="auto"/>
          <w:sz w:val="36"/>
          <w:szCs w:val="36"/>
          <w:highlight w:val="none"/>
        </w:rPr>
        <w:t xml:space="preserve"> </w:t>
      </w:r>
      <w:r>
        <w:rPr>
          <w:rFonts w:ascii="仿宋_GB2312" w:eastAsia="仿宋_GB2312"/>
          <w:b/>
          <w:bCs/>
          <w:color w:val="auto"/>
          <w:sz w:val="36"/>
          <w:szCs w:val="36"/>
          <w:highlight w:val="none"/>
        </w:rPr>
        <w:t xml:space="preserve">                 </w:t>
      </w:r>
      <w:r>
        <w:rPr>
          <w:rFonts w:hint="eastAsia" w:ascii="仿宋_GB2312" w:eastAsia="仿宋_GB2312"/>
          <w:b/>
          <w:bCs/>
          <w:color w:val="auto"/>
          <w:sz w:val="36"/>
          <w:szCs w:val="36"/>
          <w:highlight w:val="none"/>
        </w:rPr>
        <w:t xml:space="preserve">                               </w:t>
      </w:r>
    </w:p>
    <w:p w14:paraId="5F5CA490">
      <w:pPr>
        <w:pStyle w:val="6"/>
        <w:spacing w:before="240" w:beforeLines="100" w:after="240" w:afterLines="100"/>
        <w:rPr>
          <w:rFonts w:ascii="仿宋_GB2312" w:eastAsia="仿宋_GB2312"/>
          <w:b/>
          <w:bCs/>
          <w:color w:val="auto"/>
          <w:sz w:val="36"/>
          <w:szCs w:val="36"/>
          <w:highlight w:val="none"/>
        </w:rPr>
      </w:pPr>
      <w:bookmarkStart w:id="12" w:name="_Toc111885688"/>
      <w:r>
        <w:rPr>
          <w:rFonts w:hint="eastAsia" w:ascii="仿宋_GB2312" w:eastAsia="仿宋_GB2312"/>
          <w:b/>
          <w:bCs/>
          <w:color w:val="auto"/>
          <w:sz w:val="36"/>
          <w:szCs w:val="36"/>
          <w:highlight w:val="none"/>
        </w:rPr>
        <w:t>签订地点：</w:t>
      </w:r>
      <w:bookmarkEnd w:id="12"/>
      <w:r>
        <w:rPr>
          <w:rFonts w:hint="eastAsia" w:ascii="仿宋_GB2312" w:eastAsia="仿宋_GB2312"/>
          <w:b/>
          <w:bCs/>
          <w:color w:val="auto"/>
          <w:sz w:val="36"/>
          <w:szCs w:val="36"/>
          <w:highlight w:val="none"/>
          <w:u w:val="single"/>
        </w:rPr>
        <w:t xml:space="preserve"> </w:t>
      </w:r>
      <w:r>
        <w:rPr>
          <w:rFonts w:ascii="仿宋_GB2312" w:eastAsia="仿宋_GB2312"/>
          <w:b/>
          <w:bCs/>
          <w:color w:val="auto"/>
          <w:sz w:val="36"/>
          <w:szCs w:val="36"/>
          <w:highlight w:val="none"/>
          <w:u w:val="single"/>
        </w:rPr>
        <w:t xml:space="preserve">                       </w:t>
      </w:r>
      <w:r>
        <w:rPr>
          <w:rFonts w:hint="eastAsia" w:ascii="仿宋_GB2312" w:eastAsia="仿宋_GB2312"/>
          <w:b/>
          <w:bCs/>
          <w:color w:val="auto"/>
          <w:sz w:val="36"/>
          <w:szCs w:val="36"/>
          <w:highlight w:val="none"/>
        </w:rPr>
        <w:t xml:space="preserve">                               </w:t>
      </w:r>
    </w:p>
    <w:p w14:paraId="05BC85D3">
      <w:pPr>
        <w:pStyle w:val="2"/>
        <w:keepLines/>
        <w:numPr>
          <w:ilvl w:val="0"/>
          <w:numId w:val="0"/>
        </w:numPr>
        <w:tabs>
          <w:tab w:val="left" w:pos="432"/>
          <w:tab w:val="clear" w:pos="1440"/>
        </w:tabs>
        <w:wordWrap w:val="0"/>
        <w:spacing w:line="800" w:lineRule="exact"/>
        <w:rPr>
          <w:rFonts w:ascii="Times New Roman" w:cs="Times New Roman"/>
          <w:b/>
          <w:bCs/>
          <w:color w:val="auto"/>
          <w:kern w:val="44"/>
          <w:sz w:val="32"/>
          <w:szCs w:val="32"/>
          <w:highlight w:val="none"/>
        </w:rPr>
      </w:pPr>
      <w:bookmarkStart w:id="13" w:name="_Toc111885689"/>
      <w:r>
        <w:rPr>
          <w:rFonts w:hint="eastAsia" w:ascii="仿宋_GB2312" w:eastAsia="仿宋_GB2312"/>
          <w:b/>
          <w:bCs/>
          <w:color w:val="auto"/>
          <w:sz w:val="36"/>
          <w:szCs w:val="36"/>
          <w:highlight w:val="none"/>
        </w:rPr>
        <w:t>有效期限：</w:t>
      </w:r>
      <w:r>
        <w:rPr>
          <w:rFonts w:hint="eastAsia" w:ascii="仿宋_GB2312" w:eastAsia="仿宋_GB2312"/>
          <w:b/>
          <w:bCs/>
          <w:color w:val="auto"/>
          <w:sz w:val="36"/>
          <w:szCs w:val="36"/>
          <w:highlight w:val="none"/>
          <w:u w:val="single"/>
        </w:rPr>
        <w:t xml:space="preserve">    至技术服务期结束</w:t>
      </w:r>
      <w:bookmarkEnd w:id="13"/>
      <w:r>
        <w:rPr>
          <w:rFonts w:hint="eastAsia" w:ascii="仿宋_GB2312" w:eastAsia="仿宋_GB2312"/>
          <w:b/>
          <w:bCs/>
          <w:color w:val="auto"/>
          <w:sz w:val="36"/>
          <w:szCs w:val="36"/>
          <w:highlight w:val="none"/>
          <w:u w:val="single"/>
        </w:rPr>
        <w:t xml:space="preserve">   </w:t>
      </w:r>
    </w:p>
    <w:p w14:paraId="68E274FF">
      <w:pPr>
        <w:wordWrap w:val="0"/>
        <w:rPr>
          <w:color w:val="auto"/>
          <w:highlight w:val="none"/>
        </w:rPr>
      </w:pPr>
    </w:p>
    <w:p w14:paraId="33A49F1A">
      <w:pPr>
        <w:wordWrap w:val="0"/>
        <w:rPr>
          <w:color w:val="auto"/>
          <w:highlight w:val="none"/>
        </w:rPr>
      </w:pPr>
    </w:p>
    <w:p w14:paraId="1A59F153">
      <w:pPr>
        <w:wordWrap w:val="0"/>
        <w:rPr>
          <w:color w:val="auto"/>
          <w:highlight w:val="none"/>
        </w:rPr>
      </w:pPr>
    </w:p>
    <w:p w14:paraId="4BF8731C">
      <w:pPr>
        <w:wordWrap w:val="0"/>
        <w:rPr>
          <w:color w:val="auto"/>
          <w:highlight w:val="none"/>
        </w:rPr>
      </w:pPr>
    </w:p>
    <w:p w14:paraId="00C92449">
      <w:pPr>
        <w:wordWrap w:val="0"/>
        <w:rPr>
          <w:color w:val="auto"/>
          <w:highlight w:val="none"/>
        </w:rPr>
      </w:pPr>
    </w:p>
    <w:bookmarkEnd w:id="2"/>
    <w:bookmarkEnd w:id="3"/>
    <w:bookmarkEnd w:id="4"/>
    <w:p w14:paraId="219192FA">
      <w:pPr>
        <w:pStyle w:val="2"/>
        <w:keepLines/>
        <w:numPr>
          <w:ilvl w:val="0"/>
          <w:numId w:val="0"/>
        </w:numPr>
        <w:tabs>
          <w:tab w:val="left" w:pos="432"/>
          <w:tab w:val="clear" w:pos="1440"/>
        </w:tabs>
        <w:wordWrap w:val="0"/>
        <w:spacing w:line="800" w:lineRule="exact"/>
        <w:jc w:val="center"/>
        <w:rPr>
          <w:rFonts w:ascii="Times New Roman" w:cs="Times New Roman"/>
          <w:b/>
          <w:bCs/>
          <w:color w:val="auto"/>
          <w:kern w:val="44"/>
          <w:sz w:val="36"/>
          <w:szCs w:val="36"/>
          <w:highlight w:val="none"/>
        </w:rPr>
      </w:pPr>
      <w:bookmarkStart w:id="14" w:name="_Toc32711"/>
      <w:bookmarkStart w:id="15" w:name="_Toc4466"/>
      <w:r>
        <w:rPr>
          <w:rFonts w:ascii="Times New Roman" w:cs="Times New Roman"/>
          <w:b/>
          <w:bCs/>
          <w:color w:val="auto"/>
          <w:kern w:val="44"/>
          <w:sz w:val="36"/>
          <w:szCs w:val="36"/>
          <w:highlight w:val="none"/>
        </w:rPr>
        <w:t>技术咨询合同</w:t>
      </w:r>
      <w:bookmarkEnd w:id="14"/>
      <w:bookmarkEnd w:id="15"/>
    </w:p>
    <w:p w14:paraId="312AD919">
      <w:pPr>
        <w:wordWrap w:val="0"/>
        <w:rPr>
          <w:color w:val="auto"/>
          <w:highlight w:val="none"/>
        </w:rPr>
      </w:pPr>
    </w:p>
    <w:p w14:paraId="1DCA2015">
      <w:pPr>
        <w:spacing w:line="500" w:lineRule="exact"/>
        <w:ind w:right="240" w:rightChars="100" w:firstLine="480" w:firstLineChars="200"/>
        <w:rPr>
          <w:rFonts w:hint="eastAsia" w:ascii="宋体" w:hAnsi="宋体" w:cs="宋体"/>
          <w:color w:val="auto"/>
          <w:sz w:val="24"/>
          <w:highlight w:val="none"/>
          <w:u w:val="single"/>
          <w:lang w:val="en-US" w:eastAsia="zh-CN"/>
        </w:rPr>
      </w:pPr>
      <w:r>
        <w:rPr>
          <w:rFonts w:hint="eastAsia" w:ascii="宋体" w:hAnsi="宋体" w:cs="宋体"/>
          <w:color w:val="auto"/>
          <w:sz w:val="24"/>
          <w:highlight w:val="none"/>
        </w:rPr>
        <w:t>业主单位：</w:t>
      </w:r>
      <w:r>
        <w:rPr>
          <w:rFonts w:hint="eastAsia" w:ascii="宋体" w:hAnsi="宋体" w:cs="宋体"/>
          <w:color w:val="auto"/>
          <w:sz w:val="24"/>
          <w:highlight w:val="none"/>
          <w:u w:val="single"/>
          <w:lang w:val="en-US" w:eastAsia="zh-CN"/>
        </w:rPr>
        <w:t xml:space="preserve">          </w:t>
      </w:r>
    </w:p>
    <w:p w14:paraId="3DE1F37D">
      <w:pPr>
        <w:spacing w:line="500" w:lineRule="exact"/>
        <w:ind w:right="240" w:rightChars="100" w:firstLine="480" w:firstLineChars="200"/>
        <w:rPr>
          <w:rFonts w:hint="eastAsia" w:ascii="宋体" w:hAnsi="宋体" w:cs="宋体"/>
          <w:color w:val="auto"/>
          <w:sz w:val="24"/>
          <w:highlight w:val="none"/>
          <w:u w:val="single"/>
          <w:lang w:val="en-US" w:eastAsia="zh-CN"/>
        </w:rPr>
      </w:pPr>
      <w:r>
        <w:rPr>
          <w:rFonts w:hint="eastAsia" w:ascii="宋体" w:hAnsi="宋体" w:cs="宋体"/>
          <w:color w:val="auto"/>
          <w:sz w:val="24"/>
          <w:highlight w:val="none"/>
        </w:rPr>
        <w:t>委托方（甲方）（代建单位）：</w:t>
      </w:r>
      <w:r>
        <w:rPr>
          <w:rFonts w:hint="eastAsia" w:ascii="宋体" w:hAnsi="宋体" w:cs="宋体"/>
          <w:color w:val="auto"/>
          <w:sz w:val="24"/>
          <w:highlight w:val="none"/>
          <w:u w:val="single"/>
          <w:lang w:val="en-US" w:eastAsia="zh-CN"/>
        </w:rPr>
        <w:t xml:space="preserve">                   </w:t>
      </w:r>
    </w:p>
    <w:p w14:paraId="19DD9574">
      <w:pPr>
        <w:spacing w:line="50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受托方（乙方）：</w:t>
      </w:r>
      <w:r>
        <w:rPr>
          <w:rFonts w:hint="eastAsia" w:ascii="宋体" w:hAnsi="宋体" w:cs="宋体"/>
          <w:bCs/>
          <w:color w:val="auto"/>
          <w:sz w:val="24"/>
          <w:highlight w:val="none"/>
          <w:u w:val="single"/>
        </w:rPr>
        <w:t xml:space="preserve">               </w:t>
      </w:r>
    </w:p>
    <w:p w14:paraId="4C497F9B">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olor w:val="auto"/>
          <w:sz w:val="24"/>
          <w:highlight w:val="none"/>
        </w:rPr>
        <w:t>根据《</w:t>
      </w:r>
      <w:r>
        <w:rPr>
          <w:color w:val="auto"/>
          <w:highlight w:val="none"/>
        </w:rPr>
        <w:fldChar w:fldCharType="begin"/>
      </w:r>
      <w:r>
        <w:rPr>
          <w:color w:val="auto"/>
          <w:highlight w:val="none"/>
        </w:rPr>
        <w:instrText xml:space="preserve"> HYPERLINK "javascript:SLC(21651,0)" </w:instrText>
      </w:r>
      <w:r>
        <w:rPr>
          <w:color w:val="auto"/>
          <w:highlight w:val="none"/>
        </w:rPr>
        <w:fldChar w:fldCharType="separate"/>
      </w:r>
      <w:r>
        <w:rPr>
          <w:rStyle w:val="13"/>
          <w:rFonts w:hint="eastAsia" w:ascii="宋体" w:hAnsi="宋体"/>
          <w:color w:val="auto"/>
          <w:sz w:val="24"/>
          <w:highlight w:val="none"/>
        </w:rPr>
        <w:t>中华人民共和国民法典</w:t>
      </w:r>
      <w:r>
        <w:rPr>
          <w:rStyle w:val="13"/>
          <w:rFonts w:hint="eastAsia" w:ascii="宋体" w:hAnsi="宋体"/>
          <w:color w:val="auto"/>
          <w:sz w:val="24"/>
          <w:highlight w:val="none"/>
        </w:rPr>
        <w:fldChar w:fldCharType="end"/>
      </w:r>
      <w:r>
        <w:rPr>
          <w:rFonts w:hint="eastAsia" w:ascii="宋体" w:hAnsi="宋体"/>
          <w:color w:val="auto"/>
          <w:sz w:val="24"/>
          <w:highlight w:val="none"/>
        </w:rPr>
        <w:t>》及其他有关法律、法规，遵循平等、自愿、公平和诚实信用的原则，</w:t>
      </w:r>
      <w:r>
        <w:rPr>
          <w:rFonts w:hint="eastAsia" w:ascii="宋体" w:hAnsi="宋体"/>
          <w:color w:val="auto"/>
          <w:sz w:val="24"/>
          <w:highlight w:val="none"/>
          <w:lang w:val="en-US" w:eastAsia="zh-CN"/>
        </w:rPr>
        <w:t>各</w:t>
      </w:r>
      <w:r>
        <w:rPr>
          <w:rFonts w:hint="eastAsia" w:ascii="宋体" w:hAnsi="宋体"/>
          <w:color w:val="auto"/>
          <w:sz w:val="24"/>
          <w:highlight w:val="none"/>
        </w:rPr>
        <w:t>方就下述桩基检测服务事项协商一致，订立本合同。</w:t>
      </w:r>
    </w:p>
    <w:p w14:paraId="745DA3A1">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第一条  甲方委托乙方进行技术服务的内容如下：</w:t>
      </w:r>
    </w:p>
    <w:p w14:paraId="47210FB9">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l．技术服务的目标：进行桩基检测，提供符合要求的成果。</w:t>
      </w:r>
    </w:p>
    <w:p w14:paraId="5C08D157">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2．技术服务的范围、内容：</w:t>
      </w:r>
      <w:r>
        <w:rPr>
          <w:rFonts w:hint="eastAsia" w:ascii="宋体" w:hAnsi="宋体" w:eastAsia="宋体" w:cs="仿宋_GB2312"/>
          <w:color w:val="auto"/>
          <w:kern w:val="0"/>
          <w:sz w:val="24"/>
          <w:highlight w:val="none"/>
          <w:u w:val="single"/>
          <w:lang w:val="en-US" w:eastAsia="zh-CN"/>
        </w:rPr>
        <w:t xml:space="preserve">                         </w:t>
      </w:r>
      <w:r>
        <w:rPr>
          <w:rFonts w:hint="eastAsia" w:ascii="宋体" w:hAnsi="宋体"/>
          <w:color w:val="auto"/>
          <w:sz w:val="24"/>
          <w:highlight w:val="none"/>
          <w:u w:val="single"/>
        </w:rPr>
        <w:t>。</w:t>
      </w:r>
    </w:p>
    <w:p w14:paraId="1F31D334">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3．技术服务的方式：通过现场检测工作，提交检测报告。</w:t>
      </w:r>
    </w:p>
    <w:p w14:paraId="2E5227C5">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第二条  乙方应按下列要求完成技术服务工作：</w:t>
      </w:r>
    </w:p>
    <w:p w14:paraId="5CBD28AF">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1、技术服务地点：工程现场；</w:t>
      </w:r>
    </w:p>
    <w:p w14:paraId="39073B55">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2、技术服务期限：</w:t>
      </w:r>
      <w:r>
        <w:rPr>
          <w:rFonts w:hint="eastAsia" w:ascii="宋体" w:hAnsi="宋体" w:cs="宋体"/>
          <w:color w:val="auto"/>
          <w:sz w:val="24"/>
          <w:highlight w:val="none"/>
          <w:u w:val="single"/>
          <w:lang w:val="en-US" w:eastAsia="zh-CN"/>
        </w:rPr>
        <w:t xml:space="preserve">                                  </w:t>
      </w:r>
      <w:r>
        <w:rPr>
          <w:rFonts w:hint="eastAsia" w:ascii="宋体" w:hAnsi="宋体" w:cs="宋体"/>
          <w:color w:val="auto"/>
          <w:sz w:val="24"/>
          <w:highlight w:val="none"/>
        </w:rPr>
        <w:t>；</w:t>
      </w:r>
    </w:p>
    <w:p w14:paraId="5ED4C3AC">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3、技术服务进度：根据工程进展进行；</w:t>
      </w:r>
    </w:p>
    <w:p w14:paraId="3322DD72">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4、技术服务质量要求：根据任务大纲确定。</w:t>
      </w:r>
    </w:p>
    <w:p w14:paraId="1F0A8797">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5、试验人员要求：乙方检测人员应具备相关执业资格，持有效证件；现场试验人员数量应满足工程各阶段试验需求。</w:t>
      </w:r>
    </w:p>
    <w:p w14:paraId="1AF95114">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第三条  </w:t>
      </w:r>
      <w:r>
        <w:rPr>
          <w:rFonts w:hint="eastAsia" w:ascii="宋体" w:hAnsi="宋体" w:cs="宋体"/>
          <w:b/>
          <w:color w:val="auto"/>
          <w:sz w:val="24"/>
          <w:highlight w:val="none"/>
          <w:lang w:val="en-US" w:eastAsia="zh-CN"/>
        </w:rPr>
        <w:t>各</w:t>
      </w:r>
      <w:r>
        <w:rPr>
          <w:rFonts w:hint="eastAsia" w:ascii="宋体" w:hAnsi="宋体" w:cs="宋体"/>
          <w:b/>
          <w:color w:val="auto"/>
          <w:sz w:val="24"/>
          <w:highlight w:val="none"/>
        </w:rPr>
        <w:t>方义务</w:t>
      </w:r>
    </w:p>
    <w:p w14:paraId="47E007EE">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1、甲方的义务</w:t>
      </w:r>
    </w:p>
    <w:p w14:paraId="3DC61703">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⑴ 提供技术资料，包括工程地质勘察报告、桩基设计图等必需资料。</w:t>
      </w:r>
    </w:p>
    <w:p w14:paraId="11D5CD1C">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⑵ 提供工作条件，包括负责桩头处理；</w:t>
      </w:r>
    </w:p>
    <w:p w14:paraId="26033CCB">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⑶ 协调监理单位、施工单位，提供现场配合工作；</w:t>
      </w:r>
    </w:p>
    <w:p w14:paraId="0C244709">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⑷ 组织接收、验收检测成果；</w:t>
      </w:r>
    </w:p>
    <w:p w14:paraId="748FC218">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⑸ 按照合同规定支付合同价款。</w:t>
      </w:r>
    </w:p>
    <w:p w14:paraId="31833D79">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2、乙方的义务</w:t>
      </w:r>
    </w:p>
    <w:p w14:paraId="0849CE80">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⑴ 自收到甲方的有关资料和技术要求之日起，根据甲方的有关资料和技术要求于3日内完成检测任务大纲的编制，并交甲方审定；</w:t>
      </w:r>
    </w:p>
    <w:p w14:paraId="41923812">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⑵ 依据国家有关法律、法规和工程建设强制性标准，以及甲方审定的任务大纲的要求，完成检测工作。</w:t>
      </w:r>
    </w:p>
    <w:p w14:paraId="5845C750">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 xml:space="preserve">⑶ </w:t>
      </w:r>
      <w:r>
        <w:rPr>
          <w:rFonts w:hint="eastAsia" w:ascii="宋体" w:hAnsi="宋体" w:cs="宋体"/>
          <w:color w:val="auto"/>
          <w:sz w:val="24"/>
          <w:highlight w:val="none"/>
          <w:lang w:val="en-US" w:eastAsia="zh-CN"/>
        </w:rPr>
        <w:t>在接到监理单位通知后，3天内进场进行检测任务，以满足工程施工进度要求，否则每逾期一天按 3000 元/天予以处罚。</w:t>
      </w:r>
    </w:p>
    <w:p w14:paraId="27166DA1">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⑷ 按照</w:t>
      </w:r>
      <w:r>
        <w:rPr>
          <w:rFonts w:hint="eastAsia" w:ascii="宋体" w:hAnsi="宋体" w:cs="宋体"/>
          <w:color w:val="auto"/>
          <w:sz w:val="24"/>
          <w:highlight w:val="none"/>
          <w:lang w:val="en-US" w:eastAsia="zh-CN"/>
        </w:rPr>
        <w:t>各</w:t>
      </w:r>
      <w:r>
        <w:rPr>
          <w:rFonts w:hint="eastAsia" w:ascii="宋体" w:hAnsi="宋体" w:cs="宋体"/>
          <w:color w:val="auto"/>
          <w:sz w:val="24"/>
          <w:highlight w:val="none"/>
        </w:rPr>
        <w:t>方商定的周期和方式定期以书面形式向甲方提交检测报告。</w:t>
      </w:r>
    </w:p>
    <w:p w14:paraId="2F80BAD9">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⑸ 对其检测数据和检测报告的真实性和准确性负责，不得弄虚作假，提供不真实的检测报告，因乙方提供的数据、资料不准确或不及时，造成甲方损失的，乙方负责赔偿甲方由此引起的直接及间接损失。</w:t>
      </w:r>
    </w:p>
    <w:p w14:paraId="024A2A88">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⑹ 自备检测用的且符合计量认证要求的仪器设备。</w:t>
      </w:r>
    </w:p>
    <w:p w14:paraId="46961CCC">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⑺ 在检测过程中，发现质量问题应及时书面通知甲方、监理单位和施工单位。</w:t>
      </w:r>
    </w:p>
    <w:p w14:paraId="065CE8DE">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⑻ 现场检验人员应遵守甲方有关工程管理制度，文明施工，试验废弃物应及时运往甲方指定的堆放点。</w:t>
      </w:r>
    </w:p>
    <w:p w14:paraId="78C27003">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⑼ 不得转包、分包本合同检测业务。</w:t>
      </w:r>
    </w:p>
    <w:p w14:paraId="7CA0D9E8">
      <w:pPr>
        <w:numPr>
          <w:ilvl w:val="0"/>
          <w:numId w:val="0"/>
        </w:num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⑽ 乙方食宿、交通、通讯和网络自行解决，费用自理。</w:t>
      </w:r>
    </w:p>
    <w:p w14:paraId="3860C2C0">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(11)检测工期在接到甲方进场检测通知后，45个日历天内完成静载检测工作，否则每延误一天支付违约金人民币3000元/天，中标人不得以检测场地通行条件及实施检测地基条件不足为由，提出调整合同检测工期。</w:t>
      </w:r>
    </w:p>
    <w:p w14:paraId="2F224149">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12）检测工作全部结束后，在15个日历天内向甲方提供完整的检测完工报告六套。现场检测工作结束后三日内清理完现场的设备、建筑垃圾和其他堆积物，拆除相关的临时设施，交工前清理现场达到工完场清的要求，否则按逾期一天按合同价3%/天予以处罚。</w:t>
      </w:r>
    </w:p>
    <w:p w14:paraId="7984CE77">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(13)乙方进场设备套数根据需求及甲方要求配备，施工现场如需额外增加检测设备，检测单位需无条件配合业主单位的要求。乙方如未按合同约定提供检测设备，检测设备进退场费用将不予支付。</w:t>
      </w:r>
    </w:p>
    <w:p w14:paraId="3E6CB503">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(14)乙方应为其派出的为履行本合同义务的工作人员配备必要的安全设备设施；非甲方原因乙方履行本合同导致合同各方或其工作人员遭受人身或财产损失，甲方对此不承担任何违约或侵权责任，均由乙方自行负责。</w:t>
      </w:r>
    </w:p>
    <w:p w14:paraId="30E6F4B7">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（15）若因相关行政单位检查，应无条件配合提供相关检查资料。</w:t>
      </w:r>
    </w:p>
    <w:p w14:paraId="2CD4C230">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（16）若因检测过程出现需重新加载等情况，乙方需自行处理场地条件并完成检测，费用不子增加。</w:t>
      </w:r>
    </w:p>
    <w:p w14:paraId="062DE836">
      <w:pPr>
        <w:pStyle w:val="14"/>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（17）因加载需要，涉及场内外道路通行，由中标单位自行解决，中标单位不得以道路运输无法通行为理由拒绝进场检测，若后期需修整道路，所需费用已包含在综合单价中，由检测单位实施。</w:t>
      </w:r>
    </w:p>
    <w:p w14:paraId="6325EA98">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第四条  甲方向乙方支付技术服务报酬及支付方式为：</w:t>
      </w:r>
    </w:p>
    <w:p w14:paraId="2D70F700">
      <w:pPr>
        <w:wordWrap w:val="0"/>
        <w:spacing w:line="440" w:lineRule="exact"/>
        <w:ind w:right="240" w:rightChars="100" w:firstLine="480" w:firstLineChars="200"/>
        <w:rPr>
          <w:rFonts w:ascii="宋体" w:hAnsi="宋体" w:cs="宋体"/>
          <w:b/>
          <w:color w:val="auto"/>
          <w:sz w:val="24"/>
          <w:highlight w:val="none"/>
        </w:rPr>
      </w:pPr>
      <w:r>
        <w:rPr>
          <w:rFonts w:hint="eastAsia" w:ascii="宋体" w:hAnsi="宋体" w:cs="宋体"/>
          <w:color w:val="auto"/>
          <w:sz w:val="24"/>
          <w:highlight w:val="none"/>
        </w:rPr>
        <w:t xml:space="preserve">1、技术服务费总额(暂定)为：   </w:t>
      </w:r>
      <w:r>
        <w:rPr>
          <w:rFonts w:hint="eastAsia" w:ascii="宋体" w:hAnsi="宋体" w:cs="宋体"/>
          <w:b/>
          <w:color w:val="auto"/>
          <w:sz w:val="24"/>
          <w:highlight w:val="none"/>
        </w:rPr>
        <w:t>人民币</w:t>
      </w:r>
    </w:p>
    <w:p w14:paraId="7A6A0BBD">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技术服务服务费按照合同约定的检测单价和实际检测数量计算。</w:t>
      </w:r>
    </w:p>
    <w:p w14:paraId="551A2A4B">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由于检测方案变更或其他原因引起变更的，应按甲方《公司项目变更管理办法》办理变更审批，经甲方书面批准后，乙方方可实施并计取相关费用，因此导致总检测费用超出合同价的，结算时超出部分的检测费按合同规定计取再乘以95%进行计算。未经批准的，增加的检测费用结算时不予计算。</w:t>
      </w:r>
    </w:p>
    <w:p w14:paraId="0B2B0D27">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服务费结算金额，由乙方根据合同及甲方、监理单位等相关部门确认的检测报告编制，经福州市财政投资评审中心或第三方造价咨询机构审核、甲方有权部门批准后确定。</w:t>
      </w:r>
    </w:p>
    <w:p w14:paraId="16F0063D">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2、检测单价及其相关规定：</w:t>
      </w:r>
    </w:p>
    <w:p w14:paraId="2B3FE8F3">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(1) 检测项目和工程量包含在报价表（详见合同附件）内的，检测单价为固定单价，除本合同另有规定外，在合同履行期间单价均不做调整。</w:t>
      </w:r>
    </w:p>
    <w:p w14:paraId="6AC87898">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报价表中的数量为预算数量，实际检测数量以委托人和监理工程师确认的检测报告中的数量为准，并据此计算结算价款。</w:t>
      </w:r>
    </w:p>
    <w:p w14:paraId="1E50E602">
      <w:pPr>
        <w:wordWrap w:val="0"/>
        <w:spacing w:line="440" w:lineRule="exact"/>
        <w:ind w:right="240" w:rightChars="100" w:firstLine="480" w:firstLineChars="200"/>
        <w:rPr>
          <w:rFonts w:hint="eastAsia" w:ascii="宋体" w:hAnsi="宋体" w:eastAsia="宋体" w:cs="宋体"/>
          <w:color w:val="auto"/>
          <w:sz w:val="24"/>
          <w:highlight w:val="none"/>
          <w:lang w:eastAsia="zh-CN"/>
        </w:rPr>
      </w:pPr>
      <w:r>
        <w:rPr>
          <w:rFonts w:hint="eastAsia" w:ascii="宋体" w:hAnsi="宋体" w:cs="宋体"/>
          <w:color w:val="auto"/>
          <w:sz w:val="24"/>
          <w:highlight w:val="none"/>
        </w:rPr>
        <w:t>(2)检测单价包括“本项目所需的包含为实施和完善工作所需的人工费、施工机械使用费、材料费、检测费、试坑开挖、抱箍、填芯等桩头处理、加荷体吊装运输锚桩基焊接费、</w:t>
      </w:r>
      <w:r>
        <w:rPr>
          <w:rFonts w:hint="eastAsia" w:ascii="宋体" w:hAnsi="宋体" w:cs="宋体"/>
          <w:color w:val="auto"/>
          <w:sz w:val="24"/>
          <w:highlight w:val="none"/>
          <w:lang w:val="en-US" w:eastAsia="zh-CN"/>
        </w:rPr>
        <w:t>设备进出场费、</w:t>
      </w:r>
      <w:r>
        <w:rPr>
          <w:rFonts w:hint="eastAsia" w:ascii="宋体" w:hAnsi="宋体" w:cs="宋体"/>
          <w:color w:val="auto"/>
          <w:sz w:val="24"/>
          <w:highlight w:val="none"/>
        </w:rPr>
        <w:t>转场费、运输费、取土费、检测作业水电费、废弃物清运费、安全措施费、因检测工作不连续而造成的窝工费、</w:t>
      </w:r>
      <w:r>
        <w:rPr>
          <w:rFonts w:hint="eastAsia" w:ascii="宋体" w:hAnsi="宋体" w:cs="宋体"/>
          <w:color w:val="auto"/>
          <w:sz w:val="24"/>
          <w:highlight w:val="none"/>
          <w:lang w:val="en-US" w:eastAsia="zh-CN"/>
        </w:rPr>
        <w:t>因检测场地因素需考虑的通行措施费用、</w:t>
      </w:r>
      <w:r>
        <w:rPr>
          <w:rFonts w:hint="eastAsia" w:ascii="仿宋_GB2312" w:hAnsi="仿宋_GB2312" w:eastAsia="仿宋_GB2312" w:cs="仿宋_GB2312"/>
          <w:color w:val="auto"/>
          <w:sz w:val="24"/>
          <w:highlight w:val="none"/>
          <w:shd w:val="clear" w:fill="FFFFFF"/>
          <w:lang w:val="en-US" w:eastAsia="zh-CN"/>
        </w:rPr>
        <w:t>硬化工作、</w:t>
      </w:r>
      <w:r>
        <w:rPr>
          <w:rFonts w:hint="eastAsia" w:ascii="宋体" w:hAnsi="宋体" w:cs="宋体"/>
          <w:color w:val="auto"/>
          <w:sz w:val="24"/>
          <w:highlight w:val="none"/>
        </w:rPr>
        <w:t>各项辅助费用、配合费、风险费用、保险、政策性调价、市场变化(上涨或下浮)、加班费、税金、管理费、利润以及合同明示或暗示的风险、责任和义务等一切与本工程相关的费用。</w:t>
      </w:r>
      <w:r>
        <w:rPr>
          <w:rFonts w:hint="eastAsia" w:ascii="宋体" w:hAnsi="宋体" w:cs="宋体"/>
          <w:color w:val="auto"/>
          <w:sz w:val="24"/>
          <w:highlight w:val="none"/>
          <w:lang w:eastAsia="zh-CN"/>
        </w:rPr>
        <w:t>”</w:t>
      </w:r>
    </w:p>
    <w:p w14:paraId="6E26E775">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综合单价(检测单价)中已综合了直接试验工作内容费用和非直接试验工作内容费用（含试坑开挖、锚桩及焊接费、桩头处理费用），不另行列项目计算。</w:t>
      </w:r>
    </w:p>
    <w:p w14:paraId="7DBD4379">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(3)工程地基基础施工工期较长，中标报价已考虑因检测工作不连续而造成的窝工和检测次数增加等等因素，承诺中标单价不作调整。</w:t>
      </w:r>
    </w:p>
    <w:p w14:paraId="3B038B55">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（4）载荷试验暂按控制价中的荷载考虑，结算时加荷发生变化的，按2002年修订本《工程勘察设计收费标准》中收费标准乘以中标优惠率计算（中标优惠率=50%*中标人投标总价/招标控制价，招标控制价为</w:t>
      </w:r>
      <w:r>
        <w:rPr>
          <w:rFonts w:hint="eastAsia" w:ascii="宋体" w:hAnsi="宋体" w:cs="宋体"/>
          <w:color w:val="auto"/>
          <w:sz w:val="24"/>
          <w:highlight w:val="none"/>
          <w:u w:val="single"/>
          <w:lang w:eastAsia="zh-CN"/>
        </w:rPr>
        <w:t xml:space="preserve"> </w:t>
      </w:r>
      <w:r>
        <w:rPr>
          <w:rFonts w:hint="eastAsia" w:ascii="宋体" w:hAnsi="宋体" w:cs="宋体"/>
          <w:color w:val="auto"/>
          <w:sz w:val="24"/>
          <w:highlight w:val="none"/>
          <w:u w:val="single"/>
          <w:lang w:val="en-US" w:eastAsia="zh-CN"/>
        </w:rPr>
        <w:t xml:space="preserve">       </w:t>
      </w:r>
      <w:r>
        <w:rPr>
          <w:rFonts w:hint="eastAsia" w:ascii="宋体" w:hAnsi="宋体" w:cs="宋体"/>
          <w:color w:val="auto"/>
          <w:sz w:val="24"/>
          <w:highlight w:val="none"/>
        </w:rPr>
        <w:t>元）。</w:t>
      </w:r>
    </w:p>
    <w:p w14:paraId="735D0E76">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（5）经批准后，若实际有采用钻芯法检测等其他检测项目，检测单价按2002年修订本《工程勘察设计收费标准》中收费标准乘以中标优惠率计算（中标优惠率=50%*中标人投标总价/招标控制价，招标控制价为</w:t>
      </w:r>
      <w:r>
        <w:rPr>
          <w:rFonts w:hint="eastAsia" w:ascii="宋体" w:hAnsi="宋体" w:cs="宋体"/>
          <w:color w:val="auto"/>
          <w:sz w:val="24"/>
          <w:highlight w:val="none"/>
          <w:u w:val="single"/>
          <w:lang w:eastAsia="zh-CN"/>
        </w:rPr>
        <w:t xml:space="preserve"> </w:t>
      </w:r>
      <w:r>
        <w:rPr>
          <w:rFonts w:hint="eastAsia" w:ascii="宋体" w:hAnsi="宋体" w:cs="宋体"/>
          <w:color w:val="auto"/>
          <w:sz w:val="24"/>
          <w:highlight w:val="none"/>
          <w:u w:val="single"/>
          <w:lang w:val="en-US" w:eastAsia="zh-CN"/>
        </w:rPr>
        <w:t xml:space="preserve">       </w:t>
      </w:r>
      <w:r>
        <w:rPr>
          <w:rFonts w:hint="eastAsia" w:ascii="宋体" w:hAnsi="宋体" w:cs="宋体"/>
          <w:color w:val="auto"/>
          <w:sz w:val="24"/>
          <w:highlight w:val="none"/>
        </w:rPr>
        <w:t>元），材料价按市场询价。</w:t>
      </w:r>
    </w:p>
    <w:p w14:paraId="6542C190">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6）若因特殊原因，造成部分工程停建、缓建或规模减小，则工程量按照实际完成量计算，委托人不另外承担违约责任。委托人根据实际情况有权对工程量进行调整。若因受托方自身过错或方案设计错误导致检测费用增加的，增加的费用由受托人自行承担，不得计入结算价款。</w:t>
      </w:r>
    </w:p>
    <w:p w14:paraId="2F27D587">
      <w:pPr>
        <w:wordWrap w:val="0"/>
        <w:spacing w:line="440" w:lineRule="exact"/>
        <w:ind w:right="240" w:rightChars="100" w:firstLine="200"/>
        <w:rPr>
          <w:rFonts w:ascii="宋体" w:hAnsi="宋体" w:cs="宋体"/>
          <w:color w:val="auto"/>
          <w:sz w:val="24"/>
          <w:highlight w:val="none"/>
        </w:rPr>
      </w:pPr>
      <w:r>
        <w:rPr>
          <w:rFonts w:hint="eastAsia" w:ascii="宋体" w:hAnsi="宋体" w:cs="宋体"/>
          <w:color w:val="auto"/>
          <w:sz w:val="24"/>
          <w:highlight w:val="none"/>
        </w:rPr>
        <w:t xml:space="preserve">  3、技术服务费由甲方分期支付乙方。</w:t>
      </w:r>
    </w:p>
    <w:p w14:paraId="27829F4B">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具体支付方式和时间如下：</w:t>
      </w:r>
    </w:p>
    <w:p w14:paraId="6A227513">
      <w:pPr>
        <w:wordWrap w:val="0"/>
        <w:spacing w:line="440" w:lineRule="exact"/>
        <w:ind w:right="240" w:rightChars="100" w:firstLine="480" w:firstLineChars="200"/>
        <w:rPr>
          <w:rFonts w:hint="eastAsia" w:ascii="宋体" w:hAnsi="宋体" w:cs="宋体"/>
          <w:color w:val="auto"/>
          <w:sz w:val="24"/>
          <w:highlight w:val="none"/>
          <w:u w:val="single"/>
        </w:rPr>
      </w:pPr>
      <w:r>
        <w:rPr>
          <w:rFonts w:hint="eastAsia" w:ascii="宋体" w:hAnsi="宋体" w:cs="宋体"/>
          <w:color w:val="auto"/>
          <w:sz w:val="24"/>
          <w:highlight w:val="none"/>
          <w:u w:val="single"/>
        </w:rPr>
        <w:t>1、完成全部检测工作并提交检测报告，经采购人（代建方）审核确认后，中标人提供等额的正规发票等完整付款资料且财政资金到位后，达到付款条件起15个工作日内，由采购人支付实际完成量的70.00%款项。</w:t>
      </w:r>
    </w:p>
    <w:p w14:paraId="053C693E">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u w:val="single"/>
        </w:rPr>
        <w:t>2、在中标人完成全部检测工作后，中标人提交服务费结算报告，经采购人（代建方）审核后报送福州市财政投资评审中心审查并出具结算评审报告，中标人提供等额的正规发票等完整付款资料且财政资金到位后15个工作日内，由采购人按结算价支付剩余金额。</w:t>
      </w:r>
    </w:p>
    <w:p w14:paraId="3E07E5CE">
      <w:pPr>
        <w:spacing w:line="500" w:lineRule="exact"/>
        <w:ind w:right="240" w:rightChars="100" w:firstLine="482" w:firstLineChars="200"/>
        <w:rPr>
          <w:rFonts w:ascii="宋体" w:hAnsi="宋体" w:cs="宋体"/>
          <w:color w:val="auto"/>
          <w:sz w:val="24"/>
          <w:highlight w:val="none"/>
        </w:rPr>
      </w:pPr>
      <w:r>
        <w:rPr>
          <w:rFonts w:hint="eastAsia" w:ascii="宋体" w:hAnsi="宋体" w:cs="宋体"/>
          <w:b/>
          <w:color w:val="auto"/>
          <w:sz w:val="24"/>
          <w:highlight w:val="none"/>
        </w:rPr>
        <w:t>业主单位向乙方的所有支付（包括进度款、竣工结算款等），每笔款项支付前，</w:t>
      </w:r>
      <w:r>
        <w:rPr>
          <w:rFonts w:hint="eastAsia" w:ascii="宋体" w:hAnsi="宋体" w:cs="宋体"/>
          <w:color w:val="auto"/>
          <w:sz w:val="24"/>
          <w:highlight w:val="none"/>
          <w:u w:val="single"/>
        </w:rPr>
        <w:t>乙方应按照业主单位及代建单位的要求向业主单位提供与当期付款金额等额的、符合国家规定的合格增值税发票，业主单位收到乙方开具的合格发票并审核无误后，支付合同款的当期金额。</w:t>
      </w:r>
    </w:p>
    <w:p w14:paraId="5BB7F22D">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因乙方未能提供增值税发票或提供的增值税发票不合格，乙方应根据甲方的要求重新提供合格增值税发票。乙方开具发票必须确保发票票面信息全部真实，相关材料品目、价款等内容与合同相一致，因乙方开具非法无效票据而给甲方造成无法及时认证、抵扣发票等情形的，乙方需向甲方承担赔偿责任，包括但不限于税款、滞纳金、罚款及相关损失等；若无法提供，甲方有权拒绝支付相关款项并顺延付款时间。</w:t>
      </w:r>
    </w:p>
    <w:p w14:paraId="32A7FECD">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发票不合格包括但不限于以下情形：开具虚假、作废等无效发票或者违反国家法律法规开具、提供发票的；开具发票种类错误；开具发票税率与合同约定不符；发票上的信息错误；因乙方迟延送达、开具错误等原因造成发票认证失败等。</w:t>
      </w:r>
    </w:p>
    <w:p w14:paraId="0C66E8EA">
      <w:pPr>
        <w:wordWrap w:val="0"/>
        <w:spacing w:line="440" w:lineRule="exact"/>
        <w:ind w:right="240" w:rightChars="100" w:firstLine="410" w:firstLineChars="171"/>
        <w:rPr>
          <w:rFonts w:ascii="宋体" w:hAnsi="宋体" w:cs="宋体"/>
          <w:bCs/>
          <w:color w:val="auto"/>
          <w:sz w:val="24"/>
          <w:highlight w:val="none"/>
        </w:rPr>
      </w:pPr>
      <w:r>
        <w:rPr>
          <w:rFonts w:hint="eastAsia" w:ascii="宋体" w:hAnsi="宋体" w:cs="宋体"/>
          <w:color w:val="auto"/>
          <w:sz w:val="24"/>
          <w:highlight w:val="none"/>
        </w:rPr>
        <w:t>4、</w:t>
      </w:r>
      <w:r>
        <w:rPr>
          <w:rFonts w:hint="eastAsia" w:ascii="宋体" w:hAnsi="宋体" w:cs="宋体"/>
          <w:bCs/>
          <w:color w:val="auto"/>
          <w:sz w:val="24"/>
          <w:highlight w:val="none"/>
        </w:rPr>
        <w:t>履约担保</w:t>
      </w:r>
    </w:p>
    <w:p w14:paraId="08203BD4">
      <w:pPr>
        <w:pStyle w:val="4"/>
        <w:wordWrap w:val="0"/>
        <w:snapToGrid w:val="0"/>
        <w:spacing w:line="440" w:lineRule="exact"/>
        <w:ind w:firstLine="480" w:firstLineChars="200"/>
        <w:rPr>
          <w:rFonts w:ascii="宋体" w:hAnsi="宋体" w:eastAsia="宋体" w:cs="宋体"/>
          <w:bCs/>
          <w:color w:val="auto"/>
          <w:sz w:val="24"/>
          <w:highlight w:val="none"/>
        </w:rPr>
      </w:pPr>
      <w:r>
        <w:rPr>
          <w:rFonts w:hint="eastAsia" w:ascii="宋体" w:hAnsi="宋体" w:eastAsia="宋体" w:cs="宋体"/>
          <w:bCs/>
          <w:color w:val="auto"/>
          <w:sz w:val="24"/>
          <w:highlight w:val="none"/>
        </w:rPr>
        <w:t xml:space="preserve">（1）履约担保金额：为签约合同价的10% </w:t>
      </w:r>
    </w:p>
    <w:p w14:paraId="45A23B38">
      <w:pPr>
        <w:pStyle w:val="4"/>
        <w:wordWrap w:val="0"/>
        <w:snapToGrid w:val="0"/>
        <w:spacing w:line="440" w:lineRule="exact"/>
        <w:ind w:firstLine="480" w:firstLineChars="200"/>
        <w:rPr>
          <w:rFonts w:ascii="宋体" w:hAnsi="宋体" w:eastAsia="宋体" w:cs="宋体"/>
          <w:bCs/>
          <w:color w:val="auto"/>
          <w:sz w:val="24"/>
          <w:szCs w:val="24"/>
          <w:highlight w:val="none"/>
        </w:rPr>
      </w:pPr>
      <w:r>
        <w:rPr>
          <w:rFonts w:hint="eastAsia" w:ascii="宋体" w:hAnsi="宋体" w:eastAsia="宋体" w:cs="宋体"/>
          <w:bCs/>
          <w:color w:val="auto"/>
          <w:sz w:val="24"/>
          <w:highlight w:val="none"/>
        </w:rPr>
        <w:t>（2）履约担保形式：</w:t>
      </w:r>
      <w:r>
        <w:rPr>
          <w:rFonts w:hint="eastAsia" w:ascii="宋体" w:hAnsi="宋体" w:eastAsia="宋体" w:cs="宋体"/>
          <w:bCs/>
          <w:color w:val="auto"/>
          <w:sz w:val="24"/>
          <w:szCs w:val="24"/>
          <w:highlight w:val="none"/>
        </w:rPr>
        <w:t>以现金或银行保函或工程担保或建设工程保证保险的方式提交。现金及银行保函方式须满足闽建筑[2013]29号的规定，工程担保及建设工程保证保险方式须满足闽建筑[2015]29号文、闽建筑[2018]19号文和闽建筑〔2021〕16号文的规定。履约担保以现金形式递交的，应由承包人基本账户转出；以银行保函递交的，应由承包人账户所在银行出具,所需费用由承包人承担；采用工程担保保函形式递交的，承包人应按照法律法规的规定以及</w:t>
      </w:r>
      <w:r>
        <w:rPr>
          <w:rFonts w:hint="eastAsia" w:ascii="宋体" w:hAnsi="宋体" w:eastAsia="宋体" w:cs="宋体"/>
          <w:bCs/>
          <w:color w:val="auto"/>
          <w:sz w:val="24"/>
          <w:szCs w:val="24"/>
          <w:highlight w:val="none"/>
          <w:lang w:val="en-US" w:eastAsia="zh-CN"/>
        </w:rPr>
        <w:t>各</w:t>
      </w:r>
      <w:r>
        <w:rPr>
          <w:rFonts w:hint="eastAsia" w:ascii="宋体" w:hAnsi="宋体" w:eastAsia="宋体" w:cs="宋体"/>
          <w:bCs/>
          <w:color w:val="auto"/>
          <w:sz w:val="24"/>
          <w:szCs w:val="24"/>
          <w:highlight w:val="none"/>
        </w:rPr>
        <w:t>方约定，选择具有相应担保能力的工程担保公司，切实保障发包人的合法权益。鼓励承包人选择具备融资担保业务经营许可证的融资担保公司，所需费用由承包人承担；采用建设工程保证保险形式递交的，保险公司提供的保险条款应当经中国保监会批准或备案，所需费用由承包人承担。</w:t>
      </w:r>
    </w:p>
    <w:p w14:paraId="4BEF2B49">
      <w:pPr>
        <w:pStyle w:val="4"/>
        <w:wordWrap w:val="0"/>
        <w:snapToGrid w:val="0"/>
        <w:spacing w:line="440" w:lineRule="exact"/>
        <w:ind w:firstLine="480" w:firstLineChars="20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履约担保若为银行保函或工程担保或建设工程保证保险的方式提交的，承包人应对履约担保材料的真实性负责，若发现提供虚假材料的，承包单位承担一切后果并处罚如下：①处罚违约金10万元；②重新提供履约担保必须以现金方式提交；③发包人如实上报行政主管部门，列入不良记录。</w:t>
      </w:r>
    </w:p>
    <w:p w14:paraId="324187A8">
      <w:pPr>
        <w:pStyle w:val="4"/>
        <w:wordWrap w:val="0"/>
        <w:snapToGrid w:val="0"/>
        <w:spacing w:line="440" w:lineRule="exact"/>
        <w:ind w:firstLine="480" w:firstLineChars="200"/>
        <w:rPr>
          <w:rFonts w:ascii="宋体" w:hAnsi="宋体" w:cs="宋体"/>
          <w:bCs/>
          <w:color w:val="auto"/>
          <w:sz w:val="24"/>
          <w:highlight w:val="none"/>
        </w:rPr>
      </w:pPr>
      <w:r>
        <w:rPr>
          <w:rFonts w:hint="eastAsia" w:ascii="宋体" w:hAnsi="宋体" w:cs="宋体"/>
          <w:bCs/>
          <w:color w:val="auto"/>
          <w:sz w:val="24"/>
          <w:highlight w:val="none"/>
        </w:rPr>
        <w:t>（3）</w:t>
      </w:r>
      <w:r>
        <w:rPr>
          <w:rFonts w:hint="eastAsia" w:ascii="宋体" w:hAnsi="宋体" w:eastAsia="宋体" w:cs="宋体"/>
          <w:bCs/>
          <w:color w:val="auto"/>
          <w:sz w:val="24"/>
          <w:highlight w:val="none"/>
        </w:rPr>
        <w:t>履约担保</w:t>
      </w:r>
      <w:r>
        <w:rPr>
          <w:rFonts w:hint="eastAsia" w:ascii="宋体" w:hAnsi="宋体" w:cs="宋体"/>
          <w:bCs/>
          <w:color w:val="auto"/>
          <w:sz w:val="24"/>
          <w:highlight w:val="none"/>
        </w:rPr>
        <w:t>提交时间：收到中标通知书后，签订合同协议书之前提交。如果中标人未按规定提交履约担保的，招标人可以视为其已放弃中标资格而不予签订合同，并没收投标保证金，招标人将重新招标确定中标人。</w:t>
      </w:r>
    </w:p>
    <w:p w14:paraId="4D08B87E">
      <w:pPr>
        <w:pStyle w:val="4"/>
        <w:wordWrap w:val="0"/>
        <w:snapToGrid w:val="0"/>
        <w:spacing w:line="440" w:lineRule="exact"/>
        <w:ind w:firstLine="480" w:firstLineChars="200"/>
        <w:rPr>
          <w:rFonts w:ascii="宋体" w:hAnsi="宋体" w:cs="宋体"/>
          <w:bCs/>
          <w:color w:val="auto"/>
          <w:sz w:val="24"/>
          <w:highlight w:val="none"/>
        </w:rPr>
      </w:pPr>
      <w:r>
        <w:rPr>
          <w:rFonts w:hint="eastAsia" w:ascii="宋体" w:hAnsi="宋体" w:cs="宋体"/>
          <w:bCs/>
          <w:color w:val="auto"/>
          <w:sz w:val="24"/>
          <w:highlight w:val="none"/>
        </w:rPr>
        <w:t>（4）</w:t>
      </w:r>
      <w:r>
        <w:rPr>
          <w:rFonts w:hint="eastAsia" w:ascii="宋体" w:hAnsi="宋体" w:eastAsia="宋体" w:cs="宋体"/>
          <w:bCs/>
          <w:color w:val="auto"/>
          <w:sz w:val="24"/>
          <w:highlight w:val="none"/>
        </w:rPr>
        <w:t>履约担保</w:t>
      </w:r>
      <w:r>
        <w:rPr>
          <w:rFonts w:hint="eastAsia" w:ascii="宋体" w:hAnsi="宋体" w:cs="宋体"/>
          <w:bCs/>
          <w:color w:val="auto"/>
          <w:sz w:val="24"/>
          <w:highlight w:val="none"/>
        </w:rPr>
        <w:t>期限：履约担保有效期应持续到工程竣工验收合格之日后90日止。</w:t>
      </w:r>
    </w:p>
    <w:p w14:paraId="44CC4EC5">
      <w:pPr>
        <w:pStyle w:val="4"/>
        <w:wordWrap w:val="0"/>
        <w:snapToGrid w:val="0"/>
        <w:spacing w:line="440" w:lineRule="exact"/>
        <w:ind w:firstLine="480" w:firstLineChars="200"/>
        <w:rPr>
          <w:rFonts w:ascii="宋体" w:hAnsi="宋体" w:cs="宋体"/>
          <w:bCs/>
          <w:color w:val="auto"/>
          <w:sz w:val="24"/>
          <w:highlight w:val="none"/>
        </w:rPr>
      </w:pPr>
      <w:r>
        <w:rPr>
          <w:rFonts w:hint="eastAsia" w:ascii="宋体" w:hAnsi="宋体" w:cs="宋体"/>
          <w:bCs/>
          <w:color w:val="auto"/>
          <w:sz w:val="24"/>
          <w:highlight w:val="none"/>
        </w:rPr>
        <w:t>（5）</w:t>
      </w:r>
      <w:r>
        <w:rPr>
          <w:rFonts w:hint="eastAsia" w:ascii="宋体" w:hAnsi="宋体" w:eastAsia="宋体" w:cs="宋体"/>
          <w:bCs/>
          <w:color w:val="auto"/>
          <w:sz w:val="24"/>
          <w:highlight w:val="none"/>
        </w:rPr>
        <w:t>履约担保</w:t>
      </w:r>
      <w:r>
        <w:rPr>
          <w:rFonts w:hint="eastAsia" w:ascii="宋体" w:hAnsi="宋体" w:cs="宋体"/>
          <w:bCs/>
          <w:color w:val="auto"/>
          <w:sz w:val="24"/>
          <w:highlight w:val="none"/>
        </w:rPr>
        <w:t>退还：履约担保在取得竣工验收证书后，在无其他需扣除担保金额的情况下，无息退给检测人。</w:t>
      </w:r>
    </w:p>
    <w:p w14:paraId="7B7FE07F">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第五条  </w:t>
      </w:r>
      <w:r>
        <w:rPr>
          <w:rFonts w:hint="eastAsia" w:ascii="宋体" w:hAnsi="宋体" w:cs="宋体"/>
          <w:b/>
          <w:color w:val="auto"/>
          <w:sz w:val="24"/>
          <w:highlight w:val="none"/>
          <w:lang w:val="en-US" w:eastAsia="zh-CN"/>
        </w:rPr>
        <w:t>各</w:t>
      </w:r>
      <w:r>
        <w:rPr>
          <w:rFonts w:hint="eastAsia" w:ascii="宋体" w:hAnsi="宋体" w:cs="宋体"/>
          <w:b/>
          <w:color w:val="auto"/>
          <w:sz w:val="24"/>
          <w:highlight w:val="none"/>
        </w:rPr>
        <w:t>方确定因履行本合同应遵守的保密义务如下：</w:t>
      </w:r>
    </w:p>
    <w:p w14:paraId="0DDFDF67">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甲方：</w:t>
      </w:r>
    </w:p>
    <w:p w14:paraId="011E3E92">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 xml:space="preserve">1．保密内容(包括技术信息和经营信息)：对在本合同业务活动中获得的有关乙方的技术秘密及监测结果等信息负有保密责任。未经乙方的书面同意，甲方均不得对外披露其保密信息。但法律法规另有要求，或者需要履行法定责任的除外。       </w:t>
      </w:r>
    </w:p>
    <w:p w14:paraId="2A108E3F">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2．涉密人员范围：甲方所有与该业务活动有关的人员。</w:t>
      </w:r>
    </w:p>
    <w:p w14:paraId="7A378D47">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3．保密期限：本合同生效至乙方对相关信息解密。</w:t>
      </w:r>
    </w:p>
    <w:p w14:paraId="13D37A6F">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4．泄密责任：按合同或国家有关规定执行。</w:t>
      </w:r>
    </w:p>
    <w:p w14:paraId="153EB528">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乙方：</w:t>
      </w:r>
    </w:p>
    <w:p w14:paraId="18DFB83F">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 xml:space="preserve">1．保密内容(包括技术信息和经营信息)：对在本合同业务活动中获得的有关甲方的技术秘密及监测结果等信息负有保密责任。未经甲方的书面同意，乙方均不得对外披露其保密信息。但法律法规另有要求，或者需要履行法定责任的除外。              </w:t>
      </w:r>
    </w:p>
    <w:p w14:paraId="28761C21">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2．涉密人员范围：乙方所有与该业务活动有关的人员。</w:t>
      </w:r>
    </w:p>
    <w:p w14:paraId="50DE0097">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3．保密期限：本合同生效至甲方对相关信息解密。</w:t>
      </w:r>
    </w:p>
    <w:p w14:paraId="50995E63">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4．泄密责任：按合同或国家有关规定执行。</w:t>
      </w:r>
    </w:p>
    <w:p w14:paraId="6A7A340A">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第六条  本合同的变更必须由</w:t>
      </w:r>
      <w:bookmarkStart w:id="16" w:name="OLE_LINK13"/>
      <w:r>
        <w:rPr>
          <w:rFonts w:hint="eastAsia" w:ascii="宋体" w:hAnsi="宋体" w:cs="宋体"/>
          <w:b/>
          <w:color w:val="auto"/>
          <w:sz w:val="24"/>
          <w:highlight w:val="none"/>
          <w:lang w:val="en-US" w:eastAsia="zh-CN"/>
        </w:rPr>
        <w:t>各</w:t>
      </w:r>
      <w:r>
        <w:rPr>
          <w:rFonts w:hint="eastAsia" w:ascii="宋体" w:hAnsi="宋体" w:cs="宋体"/>
          <w:b/>
          <w:color w:val="auto"/>
          <w:sz w:val="24"/>
          <w:highlight w:val="none"/>
        </w:rPr>
        <w:t>方</w:t>
      </w:r>
      <w:bookmarkEnd w:id="16"/>
      <w:r>
        <w:rPr>
          <w:rFonts w:hint="eastAsia" w:ascii="宋体" w:hAnsi="宋体" w:cs="宋体"/>
          <w:b/>
          <w:color w:val="auto"/>
          <w:sz w:val="24"/>
          <w:highlight w:val="none"/>
        </w:rPr>
        <w:t>协商一致，并以书面形式确定。</w:t>
      </w:r>
    </w:p>
    <w:p w14:paraId="24A58D4D">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第七条 </w:t>
      </w:r>
      <w:r>
        <w:rPr>
          <w:rFonts w:hint="eastAsia" w:ascii="宋体" w:hAnsi="宋体" w:cs="宋体"/>
          <w:b/>
          <w:color w:val="auto"/>
          <w:sz w:val="24"/>
          <w:highlight w:val="none"/>
          <w:lang w:val="en-US" w:eastAsia="zh-CN"/>
        </w:rPr>
        <w:t xml:space="preserve"> 各</w:t>
      </w:r>
      <w:r>
        <w:rPr>
          <w:rFonts w:hint="eastAsia" w:ascii="宋体" w:hAnsi="宋体" w:cs="宋体"/>
          <w:b/>
          <w:color w:val="auto"/>
          <w:sz w:val="24"/>
          <w:highlight w:val="none"/>
        </w:rPr>
        <w:t xml:space="preserve">方确定以下列标准和方式对乙方的技术服务工作成果进行验收： </w:t>
      </w:r>
    </w:p>
    <w:p w14:paraId="08B8E16D">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L、乙方完成技术服务工作的形式：现场检测。</w:t>
      </w:r>
    </w:p>
    <w:p w14:paraId="79D4CBBE">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2、技术服务工作成果的验收标准：现行国家及省市有关规范标准及甲方审定的任务大纲。</w:t>
      </w:r>
    </w:p>
    <w:p w14:paraId="1ADF63E3">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 xml:space="preserve">3、技术服务工作成果的验收方法： </w:t>
      </w:r>
    </w:p>
    <w:p w14:paraId="7A22E29B">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⑴ 乙方每完成一项检测工作，应当及时出具检测报告。检测报告经乙方检测人员签字、法定代表人或者其授权的签字人签署，并加盖乙方公章或者检测专用章后方可生效。检测报告纸版一式伍份。</w:t>
      </w:r>
    </w:p>
    <w:p w14:paraId="5BA09B41">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⑵ 提交检测报告，并由甲方委托的监理单位签署确认。</w:t>
      </w:r>
    </w:p>
    <w:p w14:paraId="0ACBB04D">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4、验收的时间和地点：由</w:t>
      </w:r>
      <w:r>
        <w:rPr>
          <w:rFonts w:hint="eastAsia" w:ascii="宋体" w:hAnsi="宋体" w:cs="宋体"/>
          <w:color w:val="auto"/>
          <w:sz w:val="24"/>
          <w:highlight w:val="none"/>
          <w:lang w:val="en-US" w:eastAsia="zh-CN"/>
        </w:rPr>
        <w:t>各</w:t>
      </w:r>
      <w:r>
        <w:rPr>
          <w:rFonts w:hint="eastAsia" w:ascii="宋体" w:hAnsi="宋体" w:cs="宋体"/>
          <w:color w:val="auto"/>
          <w:sz w:val="24"/>
          <w:highlight w:val="none"/>
        </w:rPr>
        <w:t>方协商确定。</w:t>
      </w:r>
    </w:p>
    <w:p w14:paraId="292A65DC">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第八条  </w:t>
      </w:r>
      <w:r>
        <w:rPr>
          <w:rFonts w:hint="eastAsia" w:ascii="宋体" w:hAnsi="宋体" w:cs="宋体"/>
          <w:b/>
          <w:color w:val="auto"/>
          <w:sz w:val="24"/>
          <w:highlight w:val="none"/>
          <w:lang w:eastAsia="zh-CN"/>
        </w:rPr>
        <w:t>各方</w:t>
      </w:r>
      <w:r>
        <w:rPr>
          <w:rFonts w:hint="eastAsia" w:ascii="宋体" w:hAnsi="宋体" w:cs="宋体"/>
          <w:b/>
          <w:color w:val="auto"/>
          <w:sz w:val="24"/>
          <w:highlight w:val="none"/>
        </w:rPr>
        <w:t>确定：</w:t>
      </w:r>
    </w:p>
    <w:p w14:paraId="1ECC5D72">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l．在本合同有效期内，甲方利用乙方提交的技术服务工作成果所完成的新的技术成果，归甲方所有。</w:t>
      </w:r>
    </w:p>
    <w:p w14:paraId="295A1794">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2．在本合同有效期内，乙方利用甲方提供的技术资料和工作条件所完成的新的技术成果，归</w:t>
      </w:r>
      <w:r>
        <w:rPr>
          <w:rFonts w:hint="eastAsia" w:ascii="宋体" w:hAnsi="宋体" w:cs="宋体"/>
          <w:color w:val="auto"/>
          <w:sz w:val="24"/>
          <w:highlight w:val="none"/>
          <w:lang w:eastAsia="zh-CN"/>
        </w:rPr>
        <w:t>各方</w:t>
      </w:r>
      <w:r>
        <w:rPr>
          <w:rFonts w:hint="eastAsia" w:ascii="宋体" w:hAnsi="宋体" w:cs="宋体"/>
          <w:color w:val="auto"/>
          <w:sz w:val="24"/>
          <w:highlight w:val="none"/>
        </w:rPr>
        <w:t>所有。</w:t>
      </w:r>
    </w:p>
    <w:p w14:paraId="17FCC8B4">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第九条  </w:t>
      </w:r>
      <w:r>
        <w:rPr>
          <w:rFonts w:hint="eastAsia" w:ascii="宋体" w:hAnsi="宋体" w:cs="宋体"/>
          <w:b/>
          <w:color w:val="auto"/>
          <w:sz w:val="24"/>
          <w:highlight w:val="none"/>
          <w:lang w:eastAsia="zh-CN"/>
        </w:rPr>
        <w:t>各方</w:t>
      </w:r>
      <w:r>
        <w:rPr>
          <w:rFonts w:hint="eastAsia" w:ascii="宋体" w:hAnsi="宋体" w:cs="宋体"/>
          <w:b/>
          <w:color w:val="auto"/>
          <w:sz w:val="24"/>
          <w:highlight w:val="none"/>
        </w:rPr>
        <w:t>确定，按以下约定承担各自的违约责任：</w:t>
      </w:r>
    </w:p>
    <w:p w14:paraId="3A76744E">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1、乙方未按时提交检测成果报告，逾期每日按合同金额的千分之一支付违约金；若逾期超过7日后仍不能提交检测成果报告，则甲方有权选择因乙方违约而解除合同，由此给甲方带来的各项直接及间接损失由乙方承担（包括但不限于诉讼费、律师费、保全费、取证费、检验费、鉴定费、公证费以及为消除影响而支出的合理费用等，下同）。</w:t>
      </w:r>
    </w:p>
    <w:p w14:paraId="0AA5F1E0">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2、乙方违反本合同第3 条约定，提供不真实检测报告的，应当按照不真实报告所涉及服务费的10倍向甲方支付违约金。</w:t>
      </w:r>
    </w:p>
    <w:p w14:paraId="4B9E1973">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3、乙方违反本合同第3 条约定，因乙方故意或重大过失提交不真实报告给甲方造成损失的应当承担相应的赔偿责任。</w:t>
      </w:r>
    </w:p>
    <w:p w14:paraId="089E9496">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4、每次检测完毕乙方应及时整理现场检测资料，并于二十四小时内提供检测结果并送交甲方，乙方未按规定时间提交检测结果的，每超过一日，应支付违约金</w:t>
      </w:r>
      <w:r>
        <w:rPr>
          <w:rFonts w:hint="eastAsia" w:ascii="宋体" w:hAnsi="宋体" w:cs="宋体"/>
          <w:color w:val="auto"/>
          <w:sz w:val="24"/>
          <w:highlight w:val="none"/>
          <w:lang w:val="en-US" w:eastAsia="zh-CN"/>
        </w:rPr>
        <w:t>3</w:t>
      </w:r>
      <w:r>
        <w:rPr>
          <w:rFonts w:hint="eastAsia" w:ascii="宋体" w:hAnsi="宋体" w:cs="宋体"/>
          <w:color w:val="auto"/>
          <w:sz w:val="24"/>
          <w:highlight w:val="none"/>
        </w:rPr>
        <w:t>000元人民币，违约金从检测费中扣除。</w:t>
      </w:r>
    </w:p>
    <w:p w14:paraId="31F46F3D">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5、乙方违反合同规定，中途中止合同或转包合同，应当按照合同款项的10%支付违约金。</w:t>
      </w:r>
    </w:p>
    <w:p w14:paraId="09A0D356">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6．甲方违反本合同第3 条约定，未按时支付合同价款的，应当支付违约金。</w:t>
      </w:r>
    </w:p>
    <w:p w14:paraId="7752EF12">
      <w:pPr>
        <w:wordWrap w:val="0"/>
        <w:snapToGrid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7、因乙方责任导致甲方损失的，乙方应赔偿甲方因此所造成的损失。</w:t>
      </w:r>
    </w:p>
    <w:p w14:paraId="65ECF4AE">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第十条  </w:t>
      </w:r>
      <w:r>
        <w:rPr>
          <w:rFonts w:hint="eastAsia" w:ascii="宋体" w:hAnsi="宋体" w:cs="宋体"/>
          <w:b/>
          <w:color w:val="auto"/>
          <w:sz w:val="24"/>
          <w:highlight w:val="none"/>
          <w:lang w:eastAsia="zh-CN"/>
        </w:rPr>
        <w:t>各方</w:t>
      </w:r>
      <w:r>
        <w:rPr>
          <w:rFonts w:hint="eastAsia" w:ascii="宋体" w:hAnsi="宋体" w:cs="宋体"/>
          <w:b/>
          <w:color w:val="auto"/>
          <w:sz w:val="24"/>
          <w:highlight w:val="none"/>
        </w:rPr>
        <w:t>确定，在本合同有效期内，甲方指定为甲方项目联系人，乙方指定为乙方项目联系人。项目联系人承担以下责任：</w:t>
      </w:r>
    </w:p>
    <w:p w14:paraId="6061B321">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负责检测过程中的工作协调配合；</w:t>
      </w:r>
    </w:p>
    <w:p w14:paraId="13169B95">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一方变更项目联系人的，应当及时以书面形式通知另一方。未及时通知并影响本合同履行或造成损失的，应承担相应的责任。</w:t>
      </w:r>
    </w:p>
    <w:p w14:paraId="4C37F845">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项目部人员要求：乙方保证项目负责人及项目部其他人员根据工作需要及时到位，不更换，否则，视同违约。项目负责人未到位或擅自更换的每次支付违约金</w:t>
      </w:r>
      <w:r>
        <w:rPr>
          <w:rFonts w:hint="eastAsia" w:ascii="宋体" w:hAnsi="宋体" w:cs="宋体"/>
          <w:color w:val="auto"/>
          <w:sz w:val="24"/>
          <w:highlight w:val="none"/>
          <w:u w:val="single"/>
        </w:rPr>
        <w:t>100000</w:t>
      </w:r>
      <w:r>
        <w:rPr>
          <w:rFonts w:hint="eastAsia" w:ascii="宋体" w:hAnsi="宋体" w:cs="宋体"/>
          <w:color w:val="auto"/>
          <w:sz w:val="24"/>
          <w:highlight w:val="none"/>
        </w:rPr>
        <w:t>元人民币；项目部其他人员未到位或擅自更换的每次支付违约金</w:t>
      </w:r>
      <w:r>
        <w:rPr>
          <w:rFonts w:hint="eastAsia" w:ascii="宋体" w:hAnsi="宋体" w:cs="宋体"/>
          <w:color w:val="auto"/>
          <w:sz w:val="24"/>
          <w:highlight w:val="none"/>
          <w:u w:val="single"/>
        </w:rPr>
        <w:t>20000</w:t>
      </w:r>
      <w:r>
        <w:rPr>
          <w:rFonts w:hint="eastAsia" w:ascii="宋体" w:hAnsi="宋体" w:cs="宋体"/>
          <w:color w:val="auto"/>
          <w:sz w:val="24"/>
          <w:highlight w:val="none"/>
        </w:rPr>
        <w:t>元人民币。若因特殊情况，确需更换的，须事先征得甲方同意并更换同等或更高资历的人员。违约金从检测费中直接扣除。</w:t>
      </w:r>
    </w:p>
    <w:p w14:paraId="1AFF8D55">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第十一条  </w:t>
      </w:r>
      <w:r>
        <w:rPr>
          <w:rFonts w:hint="eastAsia" w:ascii="宋体" w:hAnsi="宋体" w:cs="宋体"/>
          <w:b/>
          <w:color w:val="auto"/>
          <w:sz w:val="24"/>
          <w:highlight w:val="none"/>
          <w:lang w:eastAsia="zh-CN"/>
        </w:rPr>
        <w:t>各方</w:t>
      </w:r>
      <w:r>
        <w:rPr>
          <w:rFonts w:hint="eastAsia" w:ascii="宋体" w:hAnsi="宋体" w:cs="宋体"/>
          <w:b/>
          <w:color w:val="auto"/>
          <w:sz w:val="24"/>
          <w:highlight w:val="none"/>
        </w:rPr>
        <w:t>确定，出现下列情形，致使本合同的履行成为不必要或不可能的，可以解除本合同：</w:t>
      </w:r>
    </w:p>
    <w:p w14:paraId="327AB7E1">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 xml:space="preserve">1．发生不可抗力；                                     </w:t>
      </w:r>
    </w:p>
    <w:p w14:paraId="4703468B">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2．因政府指令或重大变更，致使所委托的检测项目或内容取消。</w:t>
      </w:r>
    </w:p>
    <w:p w14:paraId="308CD025">
      <w:pPr>
        <w:wordWrap w:val="0"/>
        <w:spacing w:line="440" w:lineRule="exact"/>
        <w:ind w:right="240" w:rightChars="100" w:firstLine="472" w:firstLineChars="196"/>
        <w:rPr>
          <w:rFonts w:ascii="宋体" w:hAnsi="宋体" w:cs="宋体"/>
          <w:b/>
          <w:color w:val="auto"/>
          <w:sz w:val="24"/>
          <w:highlight w:val="none"/>
        </w:rPr>
      </w:pPr>
      <w:r>
        <w:rPr>
          <w:rFonts w:hint="eastAsia" w:ascii="宋体" w:hAnsi="宋体" w:cs="宋体"/>
          <w:b/>
          <w:color w:val="auto"/>
          <w:sz w:val="24"/>
          <w:highlight w:val="none"/>
        </w:rPr>
        <w:t xml:space="preserve">第十二条  </w:t>
      </w:r>
      <w:r>
        <w:rPr>
          <w:rFonts w:hint="eastAsia" w:ascii="宋体" w:hAnsi="宋体" w:cs="宋体"/>
          <w:b/>
          <w:color w:val="auto"/>
          <w:sz w:val="24"/>
          <w:highlight w:val="none"/>
          <w:lang w:eastAsia="zh-CN"/>
        </w:rPr>
        <w:t>各方</w:t>
      </w:r>
      <w:r>
        <w:rPr>
          <w:rFonts w:hint="eastAsia" w:ascii="宋体" w:hAnsi="宋体" w:cs="宋体"/>
          <w:b/>
          <w:color w:val="auto"/>
          <w:sz w:val="24"/>
          <w:highlight w:val="none"/>
        </w:rPr>
        <w:t>因履行本合同而发生的争议，应协商、调解解决。</w:t>
      </w:r>
    </w:p>
    <w:p w14:paraId="7FFEC7FC">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协商、调解不成的，确定按以下第2种方式处理：</w:t>
      </w:r>
    </w:p>
    <w:p w14:paraId="5A1C6E4C">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1．提交福州仲裁委员会仲裁；</w:t>
      </w:r>
    </w:p>
    <w:p w14:paraId="47F424D7">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2．依法向业主单位所在地人民法院起诉。</w:t>
      </w:r>
    </w:p>
    <w:p w14:paraId="6EA26EA3">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 xml:space="preserve">第十三条  </w:t>
      </w:r>
      <w:r>
        <w:rPr>
          <w:rFonts w:hint="eastAsia" w:ascii="宋体" w:hAnsi="宋体" w:cs="宋体"/>
          <w:color w:val="auto"/>
          <w:sz w:val="24"/>
          <w:highlight w:val="none"/>
          <w:lang w:eastAsia="zh-CN"/>
        </w:rPr>
        <w:t>各方</w:t>
      </w:r>
      <w:r>
        <w:rPr>
          <w:rFonts w:hint="eastAsia" w:ascii="宋体" w:hAnsi="宋体" w:cs="宋体"/>
          <w:color w:val="auto"/>
          <w:sz w:val="24"/>
          <w:highlight w:val="none"/>
        </w:rPr>
        <w:t>确定：本合同及相关附件中所涉及的有关名词和技术术语，其定义和解释如下：无。</w:t>
      </w:r>
    </w:p>
    <w:p w14:paraId="4E33DF49">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第十四条  与履行本合同有关的下列技术文件，经</w:t>
      </w:r>
      <w:r>
        <w:rPr>
          <w:rFonts w:hint="eastAsia" w:ascii="宋体" w:hAnsi="宋体" w:cs="宋体"/>
          <w:color w:val="auto"/>
          <w:sz w:val="24"/>
          <w:highlight w:val="none"/>
          <w:lang w:eastAsia="zh-CN"/>
        </w:rPr>
        <w:t>各方</w:t>
      </w:r>
      <w:r>
        <w:rPr>
          <w:rFonts w:hint="eastAsia" w:ascii="宋体" w:hAnsi="宋体" w:cs="宋体"/>
          <w:color w:val="auto"/>
          <w:sz w:val="24"/>
          <w:highlight w:val="none"/>
        </w:rPr>
        <w:t>以书面方式确认后，为本合同的组成部分：</w:t>
      </w:r>
    </w:p>
    <w:p w14:paraId="004A4FC5">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l．中标通知书（如有）；</w:t>
      </w:r>
    </w:p>
    <w:p w14:paraId="243F0EC2">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2．投标文件，包含经业主确认的项目检测方案（如有）；</w:t>
      </w:r>
    </w:p>
    <w:p w14:paraId="0306E6B6">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3．</w:t>
      </w:r>
      <w:r>
        <w:rPr>
          <w:rFonts w:hint="eastAsia" w:ascii="宋体" w:hAnsi="宋体" w:cs="宋体"/>
          <w:color w:val="auto"/>
          <w:sz w:val="24"/>
          <w:highlight w:val="none"/>
          <w:lang w:eastAsia="zh-CN"/>
        </w:rPr>
        <w:t>各方</w:t>
      </w:r>
      <w:r>
        <w:rPr>
          <w:rFonts w:hint="eastAsia" w:ascii="宋体" w:hAnsi="宋体" w:cs="宋体"/>
          <w:color w:val="auto"/>
          <w:sz w:val="24"/>
          <w:highlight w:val="none"/>
        </w:rPr>
        <w:t>有关会议纪要。</w:t>
      </w:r>
    </w:p>
    <w:p w14:paraId="12BA49C4">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4．检测任务大纲。</w:t>
      </w:r>
    </w:p>
    <w:p w14:paraId="0156B04B">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 xml:space="preserve">第十五条  </w:t>
      </w:r>
      <w:r>
        <w:rPr>
          <w:rFonts w:hint="eastAsia" w:ascii="宋体" w:hAnsi="宋体" w:cs="宋体"/>
          <w:color w:val="auto"/>
          <w:sz w:val="24"/>
          <w:highlight w:val="none"/>
          <w:lang w:eastAsia="zh-CN"/>
        </w:rPr>
        <w:t>各方</w:t>
      </w:r>
      <w:r>
        <w:rPr>
          <w:rFonts w:hint="eastAsia" w:ascii="宋体" w:hAnsi="宋体" w:cs="宋体"/>
          <w:color w:val="auto"/>
          <w:sz w:val="24"/>
          <w:highlight w:val="none"/>
        </w:rPr>
        <w:t>约定本合同其他相关事项为：</w:t>
      </w:r>
    </w:p>
    <w:p w14:paraId="58C2BFAF">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合同各方就履行合同及发行纠纷时涉及各类通知、协议等文件以及法院、仲裁等司法机关各阶段审理或强制执行涉及的法律文书送达时的送达地址及法律后果作如下约定及确认：</w:t>
      </w:r>
    </w:p>
    <w:p w14:paraId="61A4A393">
      <w:pPr>
        <w:wordWrap w:val="0"/>
        <w:spacing w:line="440" w:lineRule="exact"/>
        <w:ind w:firstLine="560"/>
        <w:rPr>
          <w:rFonts w:ascii="宋体" w:hAnsi="宋体" w:cs="宋体"/>
          <w:color w:val="auto"/>
          <w:sz w:val="24"/>
          <w:highlight w:val="none"/>
        </w:rPr>
      </w:pPr>
      <w:r>
        <w:rPr>
          <w:rFonts w:hint="eastAsia" w:ascii="宋体" w:hAnsi="宋体" w:cs="宋体"/>
          <w:color w:val="auto"/>
          <w:sz w:val="24"/>
          <w:highlight w:val="none"/>
        </w:rPr>
        <w:t>1、甲方确认其有效的送达地址</w:t>
      </w:r>
    </w:p>
    <w:p w14:paraId="596BA4D0">
      <w:pPr>
        <w:wordWrap w:val="0"/>
        <w:spacing w:line="440" w:lineRule="exact"/>
        <w:ind w:firstLine="560"/>
        <w:rPr>
          <w:rFonts w:ascii="宋体" w:hAnsi="宋体" w:cs="宋体"/>
          <w:color w:val="auto"/>
          <w:sz w:val="24"/>
          <w:highlight w:val="none"/>
        </w:rPr>
      </w:pPr>
      <w:r>
        <w:rPr>
          <w:rFonts w:hint="eastAsia" w:ascii="宋体" w:hAnsi="宋体" w:cs="宋体"/>
          <w:color w:val="auto"/>
          <w:sz w:val="24"/>
          <w:highlight w:val="none"/>
        </w:rPr>
        <w:t>＿＿＿＿＿＿＿＿＿＿，联络人：电话：＿＿＿＿</w:t>
      </w:r>
    </w:p>
    <w:p w14:paraId="78FA8A04">
      <w:pPr>
        <w:wordWrap w:val="0"/>
        <w:spacing w:line="440" w:lineRule="exact"/>
        <w:ind w:firstLine="560"/>
        <w:rPr>
          <w:rFonts w:ascii="宋体" w:hAnsi="宋体" w:cs="宋体"/>
          <w:color w:val="auto"/>
          <w:sz w:val="24"/>
          <w:highlight w:val="none"/>
        </w:rPr>
      </w:pPr>
      <w:r>
        <w:rPr>
          <w:rFonts w:hint="eastAsia" w:ascii="宋体" w:hAnsi="宋体" w:cs="宋体"/>
          <w:color w:val="auto"/>
          <w:sz w:val="24"/>
          <w:highlight w:val="none"/>
        </w:rPr>
        <w:t>2、乙方确认其有效的送达地址</w:t>
      </w:r>
    </w:p>
    <w:p w14:paraId="334D50A5">
      <w:pPr>
        <w:wordWrap w:val="0"/>
        <w:spacing w:line="440" w:lineRule="exact"/>
        <w:ind w:firstLine="560"/>
        <w:rPr>
          <w:rFonts w:ascii="宋体" w:hAnsi="宋体" w:cs="宋体"/>
          <w:color w:val="auto"/>
          <w:sz w:val="24"/>
          <w:highlight w:val="none"/>
        </w:rPr>
      </w:pPr>
      <w:r>
        <w:rPr>
          <w:rFonts w:hint="eastAsia" w:ascii="宋体" w:hAnsi="宋体" w:cs="宋体"/>
          <w:color w:val="auto"/>
          <w:sz w:val="24"/>
          <w:highlight w:val="none"/>
        </w:rPr>
        <w:t>＿＿＿＿＿＿＿＿＿＿，联络人：电话：＿＿＿＿</w:t>
      </w:r>
    </w:p>
    <w:p w14:paraId="1E4BBD2D">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3、合同任意一方如需变更上述送达地址及联络方式的应当以书面方式履行通知义务。</w:t>
      </w:r>
    </w:p>
    <w:p w14:paraId="3746E95D">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4、合同一方当事人或法院、仲裁等司法机关，发送的各类文件、文书，均可选择按上述送达地址，直接邮寄。</w:t>
      </w:r>
    </w:p>
    <w:p w14:paraId="22FB7FCD">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合同任意一方当事人提供或者确认的送达地址不准确、送达地址变更后未及时依程序告知对方和拒绝签收等原因，导致合同一方当事人或法院、仲裁等司法机关，发送的各类文件、文书，未能被当事人实际接收的，以邮寄文书投递之日起十日或者相关邮寄文件退回之日视为送达之日（以先到日期为准）。</w:t>
      </w:r>
    </w:p>
    <w:p w14:paraId="09E975D7">
      <w:pPr>
        <w:wordWrap w:val="0"/>
        <w:spacing w:line="440" w:lineRule="exact"/>
        <w:ind w:right="240" w:rightChars="100" w:firstLine="470" w:firstLineChars="196"/>
        <w:rPr>
          <w:rFonts w:ascii="宋体" w:hAnsi="宋体" w:cs="宋体"/>
          <w:color w:val="auto"/>
          <w:sz w:val="24"/>
          <w:highlight w:val="none"/>
        </w:rPr>
      </w:pPr>
      <w:r>
        <w:rPr>
          <w:rFonts w:hint="eastAsia" w:ascii="宋体" w:hAnsi="宋体" w:cs="宋体"/>
          <w:color w:val="auto"/>
          <w:sz w:val="24"/>
          <w:highlight w:val="none"/>
        </w:rPr>
        <w:t>第十六条  本合同一式</w:t>
      </w:r>
      <w:r>
        <w:rPr>
          <w:rFonts w:hint="eastAsia" w:ascii="宋体" w:hAnsi="宋体" w:cs="宋体"/>
          <w:color w:val="auto"/>
          <w:sz w:val="24"/>
          <w:highlight w:val="none"/>
          <w:u w:val="single"/>
          <w:lang w:val="en-US" w:eastAsia="zh-CN"/>
        </w:rPr>
        <w:t>玖</w:t>
      </w:r>
      <w:r>
        <w:rPr>
          <w:rFonts w:hint="eastAsia" w:ascii="宋体" w:hAnsi="宋体" w:cs="宋体"/>
          <w:color w:val="auto"/>
          <w:sz w:val="24"/>
          <w:highlight w:val="none"/>
        </w:rPr>
        <w:t>份，</w:t>
      </w:r>
      <w:r>
        <w:rPr>
          <w:rFonts w:hint="eastAsia" w:ascii="宋体" w:hAnsi="宋体" w:cs="宋体"/>
          <w:color w:val="auto"/>
          <w:sz w:val="24"/>
          <w:highlight w:val="none"/>
          <w:lang w:val="en-US" w:eastAsia="zh-CN"/>
        </w:rPr>
        <w:t>各</w:t>
      </w:r>
      <w:r>
        <w:rPr>
          <w:rFonts w:hint="eastAsia" w:ascii="宋体" w:hAnsi="宋体" w:cs="宋体"/>
          <w:color w:val="auto"/>
          <w:sz w:val="24"/>
          <w:highlight w:val="none"/>
        </w:rPr>
        <w:t>方各执</w:t>
      </w:r>
      <w:r>
        <w:rPr>
          <w:rFonts w:hint="eastAsia" w:ascii="宋体" w:hAnsi="宋体" w:cs="宋体"/>
          <w:color w:val="auto"/>
          <w:sz w:val="24"/>
          <w:highlight w:val="none"/>
          <w:u w:val="single"/>
        </w:rPr>
        <w:t>叁</w:t>
      </w:r>
      <w:r>
        <w:rPr>
          <w:rFonts w:hint="eastAsia" w:ascii="宋体" w:hAnsi="宋体" w:cs="宋体"/>
          <w:color w:val="auto"/>
          <w:sz w:val="24"/>
          <w:highlight w:val="none"/>
        </w:rPr>
        <w:t>份，具有同等法律效力。</w:t>
      </w:r>
    </w:p>
    <w:p w14:paraId="60FDCF2E">
      <w:pPr>
        <w:wordWrap w:val="0"/>
        <w:spacing w:line="440" w:lineRule="exact"/>
        <w:ind w:right="240" w:rightChars="100" w:firstLine="480" w:firstLineChars="200"/>
        <w:rPr>
          <w:rFonts w:ascii="宋体" w:hAnsi="宋体" w:cs="宋体"/>
          <w:color w:val="auto"/>
          <w:sz w:val="24"/>
          <w:highlight w:val="none"/>
        </w:rPr>
      </w:pPr>
      <w:r>
        <w:rPr>
          <w:rFonts w:hint="eastAsia" w:ascii="宋体" w:hAnsi="宋体" w:cs="宋体"/>
          <w:color w:val="auto"/>
          <w:sz w:val="24"/>
          <w:highlight w:val="none"/>
        </w:rPr>
        <w:t>第十七条  本合同经</w:t>
      </w:r>
      <w:r>
        <w:rPr>
          <w:rFonts w:hint="eastAsia" w:ascii="宋体" w:hAnsi="宋体" w:cs="宋体"/>
          <w:color w:val="auto"/>
          <w:sz w:val="24"/>
          <w:highlight w:val="none"/>
          <w:lang w:eastAsia="zh-CN"/>
        </w:rPr>
        <w:t>各方</w:t>
      </w:r>
      <w:r>
        <w:rPr>
          <w:rFonts w:hint="eastAsia" w:ascii="宋体" w:hAnsi="宋体" w:cs="宋体"/>
          <w:color w:val="auto"/>
          <w:sz w:val="24"/>
          <w:highlight w:val="none"/>
        </w:rPr>
        <w:t>签字盖章后生效。</w:t>
      </w:r>
    </w:p>
    <w:p w14:paraId="2AC5E929">
      <w:pPr>
        <w:wordWrap w:val="0"/>
        <w:spacing w:line="440" w:lineRule="exact"/>
        <w:ind w:right="240" w:rightChars="100" w:firstLine="480" w:firstLineChars="200"/>
        <w:rPr>
          <w:rFonts w:hint="eastAsia" w:ascii="宋体" w:hAnsi="宋体" w:cs="宋体"/>
          <w:color w:val="auto"/>
          <w:sz w:val="24"/>
          <w:highlight w:val="none"/>
        </w:rPr>
      </w:pPr>
      <w:r>
        <w:rPr>
          <w:rFonts w:hint="eastAsia" w:ascii="宋体" w:hAnsi="宋体" w:cs="宋体"/>
          <w:color w:val="auto"/>
          <w:sz w:val="24"/>
          <w:highlight w:val="none"/>
        </w:rPr>
        <w:t>（以下无正文）</w:t>
      </w:r>
    </w:p>
    <w:p w14:paraId="309CC61F">
      <w:pPr>
        <w:pStyle w:val="14"/>
        <w:rPr>
          <w:rFonts w:hint="eastAsia" w:ascii="宋体" w:hAnsi="宋体" w:cs="宋体"/>
          <w:color w:val="auto"/>
          <w:sz w:val="24"/>
          <w:highlight w:val="none"/>
        </w:rPr>
      </w:pPr>
    </w:p>
    <w:p w14:paraId="5ED8D069">
      <w:pPr>
        <w:pStyle w:val="14"/>
        <w:rPr>
          <w:rFonts w:hint="eastAsia" w:ascii="宋体" w:hAnsi="宋体" w:cs="宋体"/>
          <w:color w:val="auto"/>
          <w:sz w:val="24"/>
          <w:highlight w:val="none"/>
        </w:rPr>
      </w:pPr>
    </w:p>
    <w:p w14:paraId="4AF0F3B5">
      <w:pPr>
        <w:spacing w:line="460" w:lineRule="exact"/>
        <w:ind w:firstLine="240" w:firstLineChars="100"/>
        <w:rPr>
          <w:rFonts w:hint="default" w:ascii="宋体" w:hAnsi="宋体" w:cs="宋体"/>
          <w:b/>
          <w:color w:val="auto"/>
          <w:sz w:val="24"/>
          <w:highlight w:val="none"/>
          <w:u w:val="single"/>
          <w:lang w:val="en-US"/>
        </w:rPr>
      </w:pPr>
      <w:r>
        <w:rPr>
          <w:rFonts w:hint="eastAsia" w:ascii="宋体" w:hAnsi="宋体" w:cs="宋体"/>
          <w:color w:val="auto"/>
          <w:sz w:val="24"/>
          <w:highlight w:val="none"/>
        </w:rPr>
        <w:t>业主单位：</w:t>
      </w:r>
      <w:r>
        <w:rPr>
          <w:rFonts w:hint="eastAsia" w:ascii="宋体" w:hAnsi="宋体" w:cs="宋体"/>
          <w:b/>
          <w:bCs/>
          <w:color w:val="auto"/>
          <w:sz w:val="24"/>
          <w:highlight w:val="none"/>
          <w:u w:val="single"/>
          <w:lang w:eastAsia="zh-CN"/>
        </w:rPr>
        <w:t>福州市</w:t>
      </w:r>
      <w:r>
        <w:rPr>
          <w:rFonts w:hint="eastAsia" w:ascii="宋体" w:hAnsi="宋体" w:cs="宋体"/>
          <w:b/>
          <w:bCs/>
          <w:color w:val="auto"/>
          <w:sz w:val="24"/>
          <w:highlight w:val="none"/>
          <w:u w:val="single"/>
          <w:lang w:val="en-US" w:eastAsia="zh-CN"/>
        </w:rPr>
        <w:t>第二总医院</w:t>
      </w:r>
    </w:p>
    <w:p w14:paraId="77F3169B">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法定代表人或其委托代理人：             </w:t>
      </w:r>
    </w:p>
    <w:p w14:paraId="31EA160A">
      <w:pPr>
        <w:spacing w:line="460" w:lineRule="exact"/>
        <w:rPr>
          <w:rFonts w:ascii="宋体" w:hAnsi="宋体" w:cs="宋体"/>
          <w:color w:val="auto"/>
          <w:sz w:val="24"/>
          <w:highlight w:val="none"/>
        </w:rPr>
      </w:pPr>
      <w:r>
        <w:rPr>
          <w:rFonts w:hint="eastAsia" w:ascii="宋体" w:hAnsi="宋体" w:cs="宋体"/>
          <w:color w:val="auto"/>
          <w:sz w:val="24"/>
          <w:highlight w:val="none"/>
        </w:rPr>
        <w:t xml:space="preserve">（签字或盖章）                        </w:t>
      </w:r>
    </w:p>
    <w:p w14:paraId="3F0BBD7C">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联系电话：                          </w:t>
      </w:r>
    </w:p>
    <w:p w14:paraId="1F8CE09E">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传   真：                           </w:t>
      </w:r>
    </w:p>
    <w:p w14:paraId="27329B0B">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开户银行：                           </w:t>
      </w:r>
    </w:p>
    <w:p w14:paraId="1EF6D593">
      <w:pPr>
        <w:pStyle w:val="15"/>
        <w:spacing w:before="0" w:after="0" w:line="460" w:lineRule="exact"/>
        <w:ind w:firstLine="260" w:firstLineChars="100"/>
        <w:rPr>
          <w:rFonts w:ascii="宋体" w:hAnsi="宋体" w:cs="宋体"/>
          <w:color w:val="auto"/>
          <w:highlight w:val="none"/>
        </w:rPr>
      </w:pPr>
      <w:r>
        <w:rPr>
          <w:rFonts w:hint="eastAsia" w:ascii="宋体" w:hAnsi="宋体" w:cs="宋体"/>
          <w:color w:val="auto"/>
          <w:highlight w:val="none"/>
        </w:rPr>
        <w:t>帐  号： </w:t>
      </w:r>
    </w:p>
    <w:p w14:paraId="54D75180">
      <w:pPr>
        <w:spacing w:line="460" w:lineRule="exact"/>
        <w:ind w:right="240" w:rightChars="100" w:firstLine="470" w:firstLineChars="196"/>
        <w:rPr>
          <w:rFonts w:ascii="宋体" w:hAnsi="宋体" w:cs="宋体"/>
          <w:color w:val="auto"/>
          <w:sz w:val="24"/>
          <w:highlight w:val="none"/>
        </w:rPr>
      </w:pPr>
    </w:p>
    <w:p w14:paraId="6A1CE586">
      <w:pPr>
        <w:spacing w:line="460" w:lineRule="exact"/>
        <w:ind w:firstLine="240" w:firstLineChars="100"/>
        <w:rPr>
          <w:rFonts w:ascii="宋体" w:hAnsi="宋体" w:cs="宋体"/>
          <w:b/>
          <w:color w:val="auto"/>
          <w:sz w:val="24"/>
          <w:highlight w:val="none"/>
          <w:u w:val="single"/>
        </w:rPr>
      </w:pPr>
      <w:r>
        <w:rPr>
          <w:rFonts w:hint="eastAsia" w:ascii="宋体" w:hAnsi="宋体" w:cs="宋体"/>
          <w:color w:val="auto"/>
          <w:sz w:val="24"/>
          <w:highlight w:val="none"/>
        </w:rPr>
        <w:t>甲方（盖章）代建单位：</w:t>
      </w:r>
      <w:r>
        <w:rPr>
          <w:rFonts w:hint="eastAsia" w:ascii="宋体" w:hAnsi="宋体" w:cs="宋体"/>
          <w:b/>
          <w:color w:val="auto"/>
          <w:sz w:val="24"/>
          <w:highlight w:val="none"/>
          <w:u w:val="single"/>
        </w:rPr>
        <w:t>福州市城乡建总集团有限公司</w:t>
      </w:r>
    </w:p>
    <w:p w14:paraId="7A13E214">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法定代表人或其委托代理人：             </w:t>
      </w:r>
    </w:p>
    <w:p w14:paraId="2ABDAA05">
      <w:pPr>
        <w:spacing w:line="460" w:lineRule="exact"/>
        <w:rPr>
          <w:rFonts w:ascii="宋体" w:hAnsi="宋体" w:cs="宋体"/>
          <w:color w:val="auto"/>
          <w:sz w:val="24"/>
          <w:highlight w:val="none"/>
        </w:rPr>
      </w:pPr>
      <w:r>
        <w:rPr>
          <w:rFonts w:hint="eastAsia" w:ascii="宋体" w:hAnsi="宋体" w:cs="宋体"/>
          <w:color w:val="auto"/>
          <w:sz w:val="24"/>
          <w:highlight w:val="none"/>
        </w:rPr>
        <w:t xml:space="preserve">（签字或盖章）                        </w:t>
      </w:r>
    </w:p>
    <w:p w14:paraId="6019F288">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联系电话：                          </w:t>
      </w:r>
    </w:p>
    <w:p w14:paraId="0A6D5BFE">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传   真：                           </w:t>
      </w:r>
    </w:p>
    <w:p w14:paraId="605F7C73">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开户银行：                           </w:t>
      </w:r>
    </w:p>
    <w:p w14:paraId="3E11A0D1">
      <w:pPr>
        <w:pStyle w:val="9"/>
        <w:tabs>
          <w:tab w:val="center" w:pos="360"/>
        </w:tabs>
        <w:ind w:left="0" w:leftChars="0" w:firstLine="280" w:firstLineChars="100"/>
        <w:rPr>
          <w:color w:val="auto"/>
          <w:highlight w:val="none"/>
        </w:rPr>
      </w:pPr>
      <w:r>
        <w:rPr>
          <w:rFonts w:hint="eastAsia" w:ascii="宋体" w:hAnsi="宋体" w:eastAsia="宋体" w:cs="宋体"/>
          <w:color w:val="auto"/>
          <w:highlight w:val="none"/>
        </w:rPr>
        <w:t>帐  号：</w:t>
      </w:r>
    </w:p>
    <w:p w14:paraId="681F0D69">
      <w:pPr>
        <w:spacing w:line="460" w:lineRule="exact"/>
        <w:ind w:right="240" w:rightChars="100" w:firstLine="470" w:firstLineChars="196"/>
        <w:rPr>
          <w:rFonts w:ascii="宋体" w:hAnsi="宋体" w:cs="宋体"/>
          <w:color w:val="auto"/>
          <w:sz w:val="24"/>
          <w:highlight w:val="none"/>
        </w:rPr>
      </w:pPr>
    </w:p>
    <w:p w14:paraId="08452A51">
      <w:pPr>
        <w:spacing w:line="460" w:lineRule="exact"/>
        <w:ind w:firstLine="240" w:firstLineChars="100"/>
        <w:rPr>
          <w:rFonts w:ascii="宋体" w:hAnsi="宋体" w:cs="宋体"/>
          <w:b/>
          <w:color w:val="auto"/>
          <w:sz w:val="24"/>
          <w:highlight w:val="none"/>
        </w:rPr>
      </w:pPr>
      <w:r>
        <w:rPr>
          <w:rFonts w:hint="eastAsia" w:ascii="宋体" w:hAnsi="宋体" w:cs="宋体"/>
          <w:color w:val="auto"/>
          <w:sz w:val="24"/>
          <w:highlight w:val="none"/>
        </w:rPr>
        <w:t>乙方（盖章）：</w:t>
      </w:r>
    </w:p>
    <w:p w14:paraId="30515C19">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法定代表人或其委托代理人：             </w:t>
      </w:r>
    </w:p>
    <w:p w14:paraId="0872A03C">
      <w:pPr>
        <w:spacing w:line="460" w:lineRule="exact"/>
        <w:rPr>
          <w:rFonts w:ascii="宋体" w:hAnsi="宋体" w:cs="宋体"/>
          <w:color w:val="auto"/>
          <w:sz w:val="24"/>
          <w:highlight w:val="none"/>
        </w:rPr>
      </w:pPr>
      <w:r>
        <w:rPr>
          <w:rFonts w:hint="eastAsia" w:ascii="宋体" w:hAnsi="宋体" w:cs="宋体"/>
          <w:color w:val="auto"/>
          <w:sz w:val="24"/>
          <w:highlight w:val="none"/>
        </w:rPr>
        <w:t xml:space="preserve">（签字或盖章）                        </w:t>
      </w:r>
    </w:p>
    <w:p w14:paraId="75165305">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联系电话：                          </w:t>
      </w:r>
    </w:p>
    <w:p w14:paraId="51C9D6F0">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传   真：                           </w:t>
      </w:r>
    </w:p>
    <w:p w14:paraId="37907FF7">
      <w:pPr>
        <w:spacing w:line="460" w:lineRule="exact"/>
        <w:ind w:firstLine="240" w:firstLineChars="100"/>
        <w:rPr>
          <w:rFonts w:ascii="宋体" w:hAnsi="宋体" w:cs="宋体"/>
          <w:color w:val="auto"/>
          <w:sz w:val="24"/>
          <w:highlight w:val="none"/>
        </w:rPr>
      </w:pPr>
      <w:r>
        <w:rPr>
          <w:rFonts w:hint="eastAsia" w:ascii="宋体" w:hAnsi="宋体" w:cs="宋体"/>
          <w:color w:val="auto"/>
          <w:sz w:val="24"/>
          <w:highlight w:val="none"/>
        </w:rPr>
        <w:t xml:space="preserve">开户银行：                           </w:t>
      </w:r>
    </w:p>
    <w:p w14:paraId="25BB6F15">
      <w:pPr>
        <w:spacing w:line="460" w:lineRule="exact"/>
        <w:ind w:firstLine="240" w:firstLineChars="100"/>
        <w:rPr>
          <w:color w:val="auto"/>
          <w:highlight w:val="none"/>
        </w:rPr>
      </w:pPr>
      <w:r>
        <w:rPr>
          <w:rFonts w:hint="eastAsia" w:ascii="宋体" w:hAnsi="宋体" w:cs="宋体"/>
          <w:color w:val="auto"/>
          <w:sz w:val="24"/>
          <w:highlight w:val="none"/>
        </w:rPr>
        <w:t>帐  号：</w:t>
      </w:r>
    </w:p>
    <w:p w14:paraId="3678D949">
      <w:pPr>
        <w:pStyle w:val="16"/>
        <w:jc w:val="both"/>
        <w:rPr>
          <w:rFonts w:hint="default" w:ascii="仿宋_GB2312" w:hAnsi="仿宋_GB2312" w:eastAsia="仿宋_GB2312" w:cs="仿宋_GB2312"/>
          <w:color w:val="auto"/>
          <w:sz w:val="24"/>
          <w:highlight w:val="none"/>
          <w:shd w:val="clear" w:fill="FFFFFF"/>
          <w:lang w:val="en-US" w:eastAsia="zh-CN"/>
        </w:rPr>
      </w:pPr>
    </w:p>
    <w:p w14:paraId="1BA22ECF">
      <w:pPr>
        <w:pStyle w:val="16"/>
        <w:jc w:val="both"/>
        <w:rPr>
          <w:rFonts w:hint="default" w:ascii="仿宋_GB2312" w:hAnsi="仿宋_GB2312" w:eastAsia="仿宋_GB2312" w:cs="仿宋_GB2312"/>
          <w:color w:val="auto"/>
          <w:sz w:val="24"/>
          <w:highlight w:val="none"/>
          <w:shd w:val="clear" w:fill="FFFFFF"/>
          <w:lang w:val="en-US" w:eastAsia="zh-CN"/>
        </w:rPr>
      </w:pPr>
    </w:p>
    <w:p w14:paraId="7122EB80">
      <w:pPr>
        <w:pStyle w:val="16"/>
        <w:jc w:val="both"/>
        <w:rPr>
          <w:rFonts w:hint="default" w:ascii="仿宋_GB2312" w:hAnsi="仿宋_GB2312" w:eastAsia="仿宋_GB2312" w:cs="仿宋_GB2312"/>
          <w:color w:val="auto"/>
          <w:sz w:val="24"/>
          <w:highlight w:val="none"/>
          <w:shd w:val="clear" w:fill="FFFFFF"/>
          <w:lang w:val="en-US" w:eastAsia="zh-CN"/>
        </w:rPr>
      </w:pPr>
    </w:p>
    <w:p w14:paraId="343FADC3">
      <w:pPr>
        <w:pStyle w:val="16"/>
        <w:jc w:val="both"/>
        <w:rPr>
          <w:rFonts w:hint="default" w:ascii="仿宋_GB2312" w:hAnsi="仿宋_GB2312" w:eastAsia="仿宋_GB2312" w:cs="仿宋_GB2312"/>
          <w:color w:val="auto"/>
          <w:sz w:val="24"/>
          <w:highlight w:val="none"/>
          <w:shd w:val="clear" w:fill="FFFFFF"/>
          <w:lang w:val="en-US" w:eastAsia="zh-CN"/>
        </w:rPr>
      </w:pPr>
    </w:p>
    <w:p w14:paraId="7E8BCF67">
      <w:pPr>
        <w:pStyle w:val="16"/>
        <w:jc w:val="both"/>
        <w:rPr>
          <w:rFonts w:hint="default" w:ascii="仿宋_GB2312" w:hAnsi="仿宋_GB2312" w:eastAsia="仿宋_GB2312" w:cs="仿宋_GB2312"/>
          <w:color w:val="auto"/>
          <w:sz w:val="24"/>
          <w:highlight w:val="none"/>
          <w:shd w:val="clear" w:fill="FFFFFF"/>
          <w:lang w:val="en-US" w:eastAsia="zh-CN"/>
        </w:rPr>
      </w:pPr>
    </w:p>
    <w:p w14:paraId="3A49278B">
      <w:pPr>
        <w:pStyle w:val="16"/>
        <w:jc w:val="both"/>
        <w:rPr>
          <w:rFonts w:hint="default" w:ascii="仿宋_GB2312" w:hAnsi="仿宋_GB2312" w:eastAsia="仿宋_GB2312" w:cs="仿宋_GB2312"/>
          <w:color w:val="auto"/>
          <w:sz w:val="24"/>
          <w:highlight w:val="none"/>
          <w:shd w:val="clear" w:fill="FFFFFF"/>
          <w:lang w:val="en-US" w:eastAsia="zh-CN"/>
        </w:rPr>
      </w:pPr>
    </w:p>
    <w:p w14:paraId="5DEEE618">
      <w:pPr>
        <w:pStyle w:val="16"/>
        <w:jc w:val="both"/>
        <w:outlineLvl w:val="2"/>
        <w:rPr>
          <w:rFonts w:hint="eastAsia" w:ascii="仿宋_GB2312" w:hAnsi="仿宋_GB2312" w:eastAsia="仿宋_GB2312" w:cs="仿宋_GB2312"/>
          <w:b/>
          <w:color w:val="auto"/>
          <w:sz w:val="28"/>
          <w:highlight w:val="none"/>
          <w:lang w:val="en-US" w:eastAsia="zh-CN"/>
        </w:rPr>
      </w:pPr>
      <w:r>
        <w:rPr>
          <w:rFonts w:hint="eastAsia" w:ascii="仿宋_GB2312" w:hAnsi="仿宋_GB2312" w:eastAsia="仿宋_GB2312" w:cs="仿宋_GB2312"/>
          <w:b/>
          <w:color w:val="auto"/>
          <w:sz w:val="28"/>
          <w:highlight w:val="none"/>
        </w:rPr>
        <w:t>附件</w:t>
      </w:r>
      <w:r>
        <w:rPr>
          <w:rFonts w:hint="eastAsia" w:ascii="仿宋_GB2312" w:hAnsi="仿宋_GB2312" w:eastAsia="仿宋_GB2312" w:cs="仿宋_GB2312"/>
          <w:b/>
          <w:color w:val="auto"/>
          <w:sz w:val="28"/>
          <w:highlight w:val="none"/>
          <w:lang w:val="en-US" w:eastAsia="zh-CN"/>
        </w:rPr>
        <w:t>2</w:t>
      </w:r>
    </w:p>
    <w:p w14:paraId="712F5EF8">
      <w:pPr>
        <w:pStyle w:val="16"/>
        <w:jc w:val="center"/>
        <w:outlineLvl w:val="2"/>
        <w:rPr>
          <w:rFonts w:hint="eastAsia" w:ascii="仿宋_GB2312" w:hAnsi="仿宋_GB2312" w:eastAsia="仿宋_GB2312" w:cs="仿宋_GB2312"/>
          <w:b/>
          <w:color w:val="auto"/>
          <w:sz w:val="28"/>
          <w:highlight w:val="none"/>
        </w:rPr>
      </w:pPr>
      <w:r>
        <w:rPr>
          <w:rFonts w:hint="eastAsia" w:ascii="仿宋_GB2312" w:hAnsi="仿宋_GB2312" w:eastAsia="仿宋_GB2312" w:cs="仿宋_GB2312"/>
          <w:b/>
          <w:color w:val="auto"/>
          <w:sz w:val="28"/>
          <w:highlight w:val="none"/>
        </w:rPr>
        <w:t>廉 政 协 议</w:t>
      </w:r>
    </w:p>
    <w:p w14:paraId="1916C292">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项目名称：</w:t>
      </w:r>
    </w:p>
    <w:p w14:paraId="7E847D0F">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建设单位(甲方)：福州市第二总医院</w:t>
      </w:r>
    </w:p>
    <w:p w14:paraId="47C04623">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代建单位(乙方)：福州市城乡建总集团有限公司</w:t>
      </w:r>
    </w:p>
    <w:p w14:paraId="25C39F6A">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受托单位(丙方)：</w:t>
      </w:r>
    </w:p>
    <w:p w14:paraId="472451C5">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为了加强廉洁建设，防止在*******合同（以下简称“主合同”）的履行过程中发生各种谋取不正当利益的违法违纪行为，保护国家、集体和当事人的合法权利，根据国家有关法律、法规和廉政建设责任制规定，特订立本廉洁协议如下：</w:t>
      </w:r>
    </w:p>
    <w:p w14:paraId="3FA494F5">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第一条  权利和义务</w:t>
      </w:r>
    </w:p>
    <w:p w14:paraId="438ADA9D">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（一）严格遵守党和国家有关法律法规的规定。</w:t>
      </w:r>
    </w:p>
    <w:p w14:paraId="28A9058D">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（二）严格执行合同文件，自觉按合同办事。</w:t>
      </w:r>
    </w:p>
    <w:p w14:paraId="17356468">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（三）业务活动坚持公开、公正、诚信、透明的原则（除法律认定的商业秘密和合同文件另有规定之外），不得损害国家和集体利益，违反相关管理规章制度。</w:t>
      </w:r>
    </w:p>
    <w:p w14:paraId="5BF146F7">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（四）建立健全廉洁制度，开展廉洁教育，公布举报电话，监督并认真查处违法违纪行为。</w:t>
      </w:r>
    </w:p>
    <w:p w14:paraId="6571B1F8">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（五）发现对方在业务活动中有违反廉洁规定的行为，有及时提醒对方纠正的权利和义务。</w:t>
      </w:r>
    </w:p>
    <w:p w14:paraId="64BE8F1D">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（六）发现对方严重违反本协议义务条款的行为，有向其上级有关部门举报、建议给予处理并要求告知处理结果的权利。</w:t>
      </w:r>
    </w:p>
    <w:p w14:paraId="1FF5C1F2">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第二条  甲方及乙方的义务</w:t>
      </w:r>
    </w:p>
    <w:p w14:paraId="336ADF8A">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（一）甲方、乙方及其工作人员不得索要或接受丙方的礼金、有价证券和贵重物品，不得在丙方报销任何应由甲方、乙方或个人支付的费用等。</w:t>
      </w:r>
    </w:p>
    <w:p w14:paraId="21EED416">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（二）甲方及乙方工作人员不得参加丙方安排的宴请和娱乐活动；不得接受丙方提供的通讯工具、交通工具和高档办公用品等。</w:t>
      </w:r>
    </w:p>
    <w:p w14:paraId="01CDA151">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（三）甲方、乙方及其工作人员不得要求或者接受丙方为其住房装修、婚丧嫁娶活动、配偶子女的工作安排以及出国出境、旅游等提供方便等。</w:t>
      </w:r>
    </w:p>
    <w:p w14:paraId="7D0DAC4A">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（四）甲方、乙方及其工作人员不得以任何形式进行与合同事项有关的投资，甲方及乙方工作人员的配偶、子女不得从事与本合同有关的事项活动。</w:t>
      </w:r>
    </w:p>
    <w:p w14:paraId="242BBD7B">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（五）甲方及乙方人员不得以任何理由向丙方推荐分包单位或要求丙方购买合同规定外的材料、设备和服务等。</w:t>
      </w:r>
    </w:p>
    <w:p w14:paraId="07CE1D2F">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（六）甲方及乙方人员在合同履行过程中发现丙方单位有不廉洁的行为，应及时采取措施，终止其不廉洁行为的继续发生，并报告公司领导。</w:t>
      </w:r>
    </w:p>
    <w:p w14:paraId="7CE81739">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第三条  丙方的义务</w:t>
      </w:r>
    </w:p>
    <w:p w14:paraId="49520DA6">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（一）丙方不得以任何理由向甲方或乙方及其工作人员行贿或馈赠礼金、有价证券、贵重礼品等。</w:t>
      </w:r>
    </w:p>
    <w:p w14:paraId="7569B007">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（二）丙方不得以任何名义为甲方或乙方工作人员报销应由甲方、乙方单位或个人支付的任何费用。</w:t>
      </w:r>
    </w:p>
    <w:p w14:paraId="7752AC3E">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（三）丙方不得以任何理由名义为甲方或乙方工作人员参加宴请及娱乐活动。</w:t>
      </w:r>
    </w:p>
    <w:p w14:paraId="3EB30D62">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（四）丙方不得为甲方、乙方单位和个人购置或提供通讯工具、交通工具和高档办公用品等。</w:t>
      </w:r>
    </w:p>
    <w:p w14:paraId="2C3E5766">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（五）丙方及其工作人员不得向有关单位索取或接受礼金、有价证券和贵重物品及报销任何应由丙方或个人支付的任何费用。</w:t>
      </w:r>
    </w:p>
    <w:p w14:paraId="5076C688">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（六）丙方及其工作人员必须严格按照规程办事，不得与其他单位串通，损害甲方或乙方利益。</w:t>
      </w:r>
    </w:p>
    <w:p w14:paraId="0A9E22F4">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（七）丙方不能以任何形式邀请甲方、乙方及其工作人员、配偶子女等进行与合同事项有关的投资。</w:t>
      </w:r>
    </w:p>
    <w:p w14:paraId="27609483">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第四条  违约责任</w:t>
      </w:r>
    </w:p>
    <w:p w14:paraId="70CD9956">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（一）甲方、乙方及其工作人员违反本合同第一、第二条，按管理权限，依据有关规定给予党纪、政纪或组织处理；涉嫌犯罪的，移交司法机关追究刑事责任；给丙方单位造成经济损失的，应予以赔偿。</w:t>
      </w:r>
    </w:p>
    <w:p w14:paraId="442B8408">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丙方及其工作人员违反本合同第一、第三条，按管理权限，依据有关规定给予党纪、政纪或组织处理；给甲方、乙方单位造成经济损失的，应予以赔偿；情节严重的，甲方、乙方有权建议有关主管部门给予丙方相关处罚，涉嫌犯罪的，移交司法机关追究刑事责任。</w:t>
      </w:r>
    </w:p>
    <w:p w14:paraId="2F2C3AC1">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第五条  其他约定：本协议由甲、乙、丙三方或甲、乙、丙三方上级单位的纪检监察机关负责监督执行。</w:t>
      </w:r>
    </w:p>
    <w:p w14:paraId="7CF69014">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第六条  本协议自甲、乙、丙三方签字盖章之日起生效，主合同规定的义务且费用结清后自动失效。</w:t>
      </w:r>
    </w:p>
    <w:p w14:paraId="19712E80">
      <w:pPr>
        <w:pStyle w:val="16"/>
        <w:jc w:val="both"/>
        <w:outlineLvl w:val="2"/>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第七条  本合同一式 玖 份，具有同等法律效力，甲方执 叁 份，乙方执 叁 份，丙方执 叁 份。</w:t>
      </w:r>
    </w:p>
    <w:p w14:paraId="321C9560">
      <w:pPr>
        <w:pStyle w:val="16"/>
        <w:jc w:val="both"/>
        <w:outlineLvl w:val="2"/>
        <w:rPr>
          <w:rFonts w:hint="eastAsia" w:ascii="宋体" w:hAnsi="宋体" w:eastAsia="宋体" w:cs="宋体"/>
          <w:color w:val="auto"/>
          <w:kern w:val="2"/>
          <w:sz w:val="24"/>
          <w:szCs w:val="24"/>
          <w:highlight w:val="none"/>
          <w:lang w:val="en-US" w:eastAsia="zh-CN" w:bidi="ar-SA"/>
        </w:rPr>
      </w:pPr>
    </w:p>
    <w:p w14:paraId="63216C6D">
      <w:pPr>
        <w:pStyle w:val="16"/>
        <w:jc w:val="both"/>
        <w:outlineLvl w:val="2"/>
        <w:rPr>
          <w:rFonts w:hint="eastAsia" w:ascii="仿宋_GB2312" w:hAnsi="仿宋_GB2312" w:eastAsia="仿宋_GB2312" w:cs="仿宋_GB2312"/>
          <w:b/>
          <w:color w:val="auto"/>
          <w:sz w:val="24"/>
          <w:szCs w:val="24"/>
          <w:highlight w:val="none"/>
        </w:rPr>
      </w:pPr>
    </w:p>
    <w:p w14:paraId="0791F334">
      <w:pPr>
        <w:pStyle w:val="16"/>
        <w:jc w:val="both"/>
        <w:outlineLvl w:val="2"/>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甲方：</w:t>
      </w:r>
      <w:r>
        <w:rPr>
          <w:rFonts w:hint="eastAsia" w:ascii="仿宋_GB2312" w:hAnsi="仿宋_GB2312" w:eastAsia="仿宋_GB2312" w:cs="仿宋_GB2312"/>
          <w:b/>
          <w:color w:val="auto"/>
          <w:sz w:val="24"/>
          <w:szCs w:val="24"/>
          <w:highlight w:val="none"/>
          <w:lang w:val="en-US" w:eastAsia="zh-CN"/>
        </w:rPr>
        <w:t>福州市第二总医院</w:t>
      </w:r>
      <w:r>
        <w:rPr>
          <w:rFonts w:hint="eastAsia" w:ascii="仿宋_GB2312" w:hAnsi="仿宋_GB2312" w:eastAsia="仿宋_GB2312" w:cs="仿宋_GB2312"/>
          <w:b/>
          <w:color w:val="auto"/>
          <w:sz w:val="24"/>
          <w:szCs w:val="24"/>
          <w:highlight w:val="none"/>
        </w:rPr>
        <w:t>（盖章）</w:t>
      </w:r>
    </w:p>
    <w:p w14:paraId="0D13C0F8">
      <w:pPr>
        <w:pStyle w:val="16"/>
        <w:jc w:val="both"/>
        <w:outlineLvl w:val="2"/>
        <w:rPr>
          <w:rFonts w:hint="eastAsia" w:ascii="仿宋_GB2312" w:hAnsi="仿宋_GB2312" w:eastAsia="仿宋_GB2312" w:cs="仿宋_GB2312"/>
          <w:b/>
          <w:color w:val="auto"/>
          <w:sz w:val="24"/>
          <w:szCs w:val="24"/>
          <w:highlight w:val="none"/>
        </w:rPr>
      </w:pPr>
    </w:p>
    <w:p w14:paraId="10895C21">
      <w:pPr>
        <w:pStyle w:val="16"/>
        <w:jc w:val="both"/>
        <w:outlineLvl w:val="2"/>
        <w:rPr>
          <w:rFonts w:hint="eastAsia" w:ascii="仿宋_GB2312" w:hAnsi="仿宋_GB2312" w:eastAsia="仿宋_GB2312" w:cs="仿宋_GB2312"/>
          <w:b/>
          <w:color w:val="auto"/>
          <w:sz w:val="24"/>
          <w:szCs w:val="24"/>
          <w:highlight w:val="none"/>
        </w:rPr>
      </w:pPr>
    </w:p>
    <w:p w14:paraId="3C31530E">
      <w:pPr>
        <w:pStyle w:val="16"/>
        <w:jc w:val="both"/>
        <w:outlineLvl w:val="2"/>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乙方：福州市城乡建总集团有限公司 （盖章）</w:t>
      </w:r>
    </w:p>
    <w:p w14:paraId="5AF7063E">
      <w:pPr>
        <w:pStyle w:val="16"/>
        <w:jc w:val="both"/>
        <w:outlineLvl w:val="2"/>
        <w:rPr>
          <w:rFonts w:hint="eastAsia" w:ascii="仿宋_GB2312" w:hAnsi="仿宋_GB2312" w:eastAsia="仿宋_GB2312" w:cs="仿宋_GB2312"/>
          <w:b/>
          <w:color w:val="auto"/>
          <w:sz w:val="24"/>
          <w:szCs w:val="24"/>
          <w:highlight w:val="none"/>
        </w:rPr>
      </w:pPr>
    </w:p>
    <w:p w14:paraId="45E04618">
      <w:pPr>
        <w:pStyle w:val="16"/>
        <w:jc w:val="both"/>
        <w:outlineLvl w:val="2"/>
        <w:rPr>
          <w:rFonts w:hint="eastAsia" w:ascii="仿宋_GB2312" w:hAnsi="仿宋_GB2312" w:eastAsia="仿宋_GB2312" w:cs="仿宋_GB2312"/>
          <w:b/>
          <w:color w:val="auto"/>
          <w:sz w:val="24"/>
          <w:szCs w:val="24"/>
          <w:highlight w:val="none"/>
        </w:rPr>
      </w:pPr>
    </w:p>
    <w:p w14:paraId="544705B1">
      <w:pPr>
        <w:pStyle w:val="16"/>
        <w:jc w:val="both"/>
        <w:outlineLvl w:val="2"/>
        <w:rPr>
          <w:rFonts w:hint="eastAsia" w:ascii="仿宋_GB2312" w:hAnsi="仿宋_GB2312" w:eastAsia="仿宋_GB2312" w:cs="仿宋_GB2312"/>
          <w:b/>
          <w:color w:val="auto"/>
          <w:sz w:val="28"/>
          <w:highlight w:val="none"/>
        </w:rPr>
      </w:pPr>
      <w:r>
        <w:rPr>
          <w:rFonts w:hint="eastAsia" w:ascii="仿宋_GB2312" w:hAnsi="仿宋_GB2312" w:eastAsia="仿宋_GB2312" w:cs="仿宋_GB2312"/>
          <w:b/>
          <w:color w:val="auto"/>
          <w:sz w:val="24"/>
          <w:szCs w:val="24"/>
          <w:highlight w:val="none"/>
        </w:rPr>
        <w:t>丙方：</w:t>
      </w:r>
      <w:r>
        <w:rPr>
          <w:rFonts w:hint="eastAsia" w:ascii="仿宋_GB2312" w:hAnsi="仿宋_GB2312" w:eastAsia="仿宋_GB2312" w:cs="仿宋_GB2312"/>
          <w:b/>
          <w:color w:val="auto"/>
          <w:sz w:val="24"/>
          <w:szCs w:val="24"/>
          <w:highlight w:val="none"/>
          <w:lang w:val="en-US" w:eastAsia="zh-CN"/>
        </w:rPr>
        <w:t>**********</w:t>
      </w:r>
      <w:r>
        <w:rPr>
          <w:rFonts w:hint="eastAsia" w:ascii="仿宋_GB2312" w:hAnsi="仿宋_GB2312" w:eastAsia="仿宋_GB2312" w:cs="仿宋_GB2312"/>
          <w:b/>
          <w:color w:val="auto"/>
          <w:sz w:val="24"/>
          <w:szCs w:val="24"/>
          <w:highlight w:val="none"/>
        </w:rPr>
        <w:t>（盖章）</w:t>
      </w:r>
    </w:p>
    <w:p w14:paraId="6EC9EB3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16"/>
    <w:multiLevelType w:val="multilevel"/>
    <w:tmpl w:val="00000016"/>
    <w:lvl w:ilvl="0" w:tentative="0">
      <w:start w:val="1"/>
      <w:numFmt w:val="decimal"/>
      <w:pStyle w:val="2"/>
      <w:lvlText w:val="第 %1 章"/>
      <w:lvlJc w:val="left"/>
      <w:pPr>
        <w:tabs>
          <w:tab w:val="left" w:pos="1440"/>
        </w:tabs>
        <w:ind w:left="0" w:firstLine="0"/>
      </w:pPr>
      <w:rPr>
        <w:rFonts w:hint="eastAsia" w:eastAsia="宋体"/>
        <w:b/>
        <w:i w:val="0"/>
        <w:sz w:val="44"/>
      </w:rPr>
    </w:lvl>
    <w:lvl w:ilvl="1" w:tentative="0">
      <w:start w:val="1"/>
      <w:numFmt w:val="decimal"/>
      <w:lvlText w:val="第%2节 "/>
      <w:lvlJc w:val="left"/>
      <w:pPr>
        <w:tabs>
          <w:tab w:val="left" w:pos="3420"/>
        </w:tabs>
        <w:ind w:left="2700" w:firstLine="0"/>
      </w:pPr>
      <w:rPr>
        <w:rFonts w:hint="eastAsia" w:ascii="Times New Roman" w:hAnsi="Times New Roman" w:eastAsia="宋体" w:cs="Times New Roman"/>
        <w:b/>
        <w:bCs w:val="0"/>
        <w:i w:val="0"/>
        <w:iCs w:val="0"/>
        <w:caps w:val="0"/>
        <w:smallCaps w:val="0"/>
        <w:vanish w:val="0"/>
        <w:spacing w:val="0"/>
        <w:kern w:val="0"/>
        <w:position w:val="0"/>
        <w:sz w:val="32"/>
        <w:u w:val="none"/>
        <w:vertAlign w:val="baseline"/>
      </w:rPr>
    </w:lvl>
    <w:lvl w:ilvl="2" w:tentative="0">
      <w:start w:val="1"/>
      <w:numFmt w:val="chineseCountingThousand"/>
      <w:lvlText w:val="%3."/>
      <w:lvlJc w:val="left"/>
      <w:pPr>
        <w:tabs>
          <w:tab w:val="left" w:pos="720"/>
        </w:tabs>
        <w:ind w:left="0" w:firstLine="0"/>
      </w:pPr>
      <w:rPr>
        <w:rFonts w:hint="eastAsia" w:eastAsia="宋体"/>
        <w:b/>
        <w:i w:val="0"/>
        <w:sz w:val="30"/>
      </w:rPr>
    </w:lvl>
    <w:lvl w:ilvl="3" w:tentative="0">
      <w:start w:val="1"/>
      <w:numFmt w:val="japaneseCounting"/>
      <w:lvlText w:val="（%4）"/>
      <w:lvlJc w:val="right"/>
      <w:pPr>
        <w:tabs>
          <w:tab w:val="left" w:pos="0"/>
        </w:tabs>
        <w:ind w:left="0" w:firstLine="0"/>
      </w:pPr>
      <w:rPr>
        <w:rFonts w:hint="eastAsia" w:ascii="Times New Roman" w:hAnsi="Times New Roman" w:eastAsia="宋体" w:cs="Times New Roman"/>
      </w:rPr>
    </w:lvl>
    <w:lvl w:ilvl="4" w:tentative="0">
      <w:start w:val="1"/>
      <w:numFmt w:val="decimal"/>
      <w:lvlText w:val="%5."/>
      <w:lvlJc w:val="left"/>
      <w:pPr>
        <w:tabs>
          <w:tab w:val="left" w:pos="0"/>
        </w:tabs>
        <w:ind w:left="0" w:firstLine="0"/>
      </w:pPr>
      <w:rPr>
        <w:rFonts w:hint="eastAsia" w:ascii="宋体" w:hAnsi="宋体" w:eastAsia="宋体"/>
        <w:b/>
        <w:i w:val="0"/>
        <w:sz w:val="28"/>
      </w:rPr>
    </w:lvl>
    <w:lvl w:ilvl="5" w:tentative="0">
      <w:start w:val="1"/>
      <w:numFmt w:val="decimal"/>
      <w:lvlText w:val="%5.%6."/>
      <w:lvlJc w:val="left"/>
      <w:pPr>
        <w:tabs>
          <w:tab w:val="left" w:pos="510"/>
        </w:tabs>
        <w:ind w:left="120" w:firstLine="510"/>
      </w:pPr>
      <w:rPr>
        <w:rFonts w:hint="eastAsia"/>
        <w:b/>
        <w:sz w:val="24"/>
        <w:szCs w:val="24"/>
      </w:rPr>
    </w:lvl>
    <w:lvl w:ilvl="6" w:tentative="0">
      <w:start w:val="1"/>
      <w:numFmt w:val="lowerRoman"/>
      <w:lvlText w:val="%7)"/>
      <w:lvlJc w:val="right"/>
      <w:pPr>
        <w:tabs>
          <w:tab w:val="left" w:pos="1296"/>
        </w:tabs>
        <w:ind w:left="1296" w:hanging="288"/>
      </w:pPr>
      <w:rPr>
        <w:rFonts w:hint="eastAsia"/>
      </w:rPr>
    </w:lvl>
    <w:lvl w:ilvl="7" w:tentative="0">
      <w:start w:val="1"/>
      <w:numFmt w:val="lowerLetter"/>
      <w:lvlText w:val="%8."/>
      <w:lvlJc w:val="left"/>
      <w:pPr>
        <w:tabs>
          <w:tab w:val="left" w:pos="1440"/>
        </w:tabs>
        <w:ind w:left="1440" w:hanging="432"/>
      </w:pPr>
      <w:rPr>
        <w:rFonts w:hint="eastAsia"/>
      </w:rPr>
    </w:lvl>
    <w:lvl w:ilvl="8" w:tentative="0">
      <w:start w:val="1"/>
      <w:numFmt w:val="lowerRoman"/>
      <w:lvlText w:val="%9."/>
      <w:lvlJc w:val="right"/>
      <w:pPr>
        <w:tabs>
          <w:tab w:val="left" w:pos="1584"/>
        </w:tabs>
        <w:ind w:left="1584" w:hanging="14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7129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4"/>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tLeast"/>
      <w:outlineLvl w:val="0"/>
    </w:pPr>
    <w:rPr>
      <w:rFonts w:ascii="Times New Roman" w:hAnsi="Times New Roman" w:eastAsia="宋体" w:cs="Times New Roman"/>
      <w:b/>
      <w:bCs/>
      <w:kern w:val="44"/>
      <w:sz w:val="44"/>
      <w:szCs w:val="44"/>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12">
    <w:name w:val="Default Paragraph Font"/>
    <w:semiHidden/>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4">
    <w:name w:val="Normal Indent"/>
    <w:basedOn w:val="1"/>
    <w:next w:val="5"/>
    <w:qFormat/>
    <w:uiPriority w:val="0"/>
    <w:pPr>
      <w:ind w:firstLine="420"/>
    </w:pPr>
    <w:rPr>
      <w:sz w:val="21"/>
      <w:szCs w:val="20"/>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Body Text"/>
    <w:basedOn w:val="1"/>
    <w:next w:val="7"/>
    <w:qFormat/>
    <w:uiPriority w:val="99"/>
    <w:pPr>
      <w:spacing w:after="120"/>
    </w:pPr>
  </w:style>
  <w:style w:type="paragraph" w:customStyle="1" w:styleId="7">
    <w:name w:val="样式 标题 3 + (中文) 黑体 小四 非加粗 段前: 7.8 磅 段后: 0 磅 行距: 固定值 20 磅"/>
    <w:basedOn w:val="3"/>
    <w:qFormat/>
    <w:uiPriority w:val="0"/>
    <w:pPr>
      <w:tabs>
        <w:tab w:val="left" w:pos="720"/>
      </w:tabs>
      <w:spacing w:before="0" w:after="0" w:line="400" w:lineRule="exact"/>
    </w:pPr>
    <w:rPr>
      <w:rFonts w:eastAsia="黑体" w:cs="宋体"/>
      <w:b w:val="0"/>
      <w:kern w:val="2"/>
      <w:sz w:val="24"/>
    </w:rPr>
  </w:style>
  <w:style w:type="paragraph" w:styleId="8">
    <w:name w:val="Body Text Indent"/>
    <w:basedOn w:val="1"/>
    <w:next w:val="1"/>
    <w:qFormat/>
    <w:uiPriority w:val="0"/>
    <w:pPr>
      <w:widowControl/>
      <w:tabs>
        <w:tab w:val="left" w:pos="0"/>
        <w:tab w:val="left" w:pos="993"/>
        <w:tab w:val="left" w:pos="1134"/>
      </w:tabs>
      <w:adjustRightInd/>
      <w:spacing w:line="500" w:lineRule="exact"/>
      <w:ind w:firstLine="567"/>
      <w:textAlignment w:val="auto"/>
    </w:pPr>
    <w:rPr>
      <w:rFonts w:ascii="宋体" w:hAnsi="Times New Roman" w:eastAsia="宋体" w:cs="Times New Roman"/>
      <w:sz w:val="28"/>
    </w:rPr>
  </w:style>
  <w:style w:type="paragraph" w:styleId="9">
    <w:name w:val="Body Text First Indent 2"/>
    <w:basedOn w:val="8"/>
    <w:next w:val="10"/>
    <w:qFormat/>
    <w:uiPriority w:val="0"/>
    <w:pPr>
      <w:ind w:firstLine="420" w:firstLineChars="200"/>
    </w:pPr>
    <w:rPr>
      <w:rFonts w:ascii="Calibri" w:hAnsi="Calibri"/>
      <w:szCs w:val="22"/>
    </w:rPr>
  </w:style>
  <w:style w:type="paragraph" w:customStyle="1" w:styleId="10">
    <w:name w:val="正文格式"/>
    <w:basedOn w:val="1"/>
    <w:qFormat/>
    <w:uiPriority w:val="0"/>
    <w:pPr>
      <w:tabs>
        <w:tab w:val="left" w:pos="992"/>
      </w:tabs>
      <w:ind w:firstLine="200" w:firstLineChars="200"/>
    </w:pPr>
    <w:rPr>
      <w:rFonts w:ascii="宋体" w:hAnsi="宋体"/>
      <w:sz w:val="28"/>
    </w:rPr>
  </w:style>
  <w:style w:type="character" w:customStyle="1" w:styleId="13">
    <w:name w:val="15"/>
    <w:qFormat/>
    <w:uiPriority w:val="0"/>
    <w:rPr>
      <w:rFonts w:hint="default" w:ascii="Times New Roman" w:hAnsi="Times New Roman" w:cs="Times New Roman"/>
      <w:color w:val="464445"/>
      <w:u w:val="none"/>
    </w:rPr>
  </w:style>
  <w:style w:type="paragraph" w:customStyle="1" w:styleId="14">
    <w:name w:val="Normal Indent1"/>
    <w:basedOn w:val="1"/>
    <w:qFormat/>
    <w:uiPriority w:val="0"/>
    <w:rPr>
      <w:rFonts w:ascii="Calibri" w:hAnsi="Calibri"/>
      <w:kern w:val="2"/>
      <w:sz w:val="21"/>
      <w:szCs w:val="24"/>
    </w:rPr>
  </w:style>
  <w:style w:type="paragraph" w:customStyle="1" w:styleId="15">
    <w:name w:val="表格文字"/>
    <w:basedOn w:val="1"/>
    <w:next w:val="6"/>
    <w:qFormat/>
    <w:uiPriority w:val="0"/>
    <w:pPr>
      <w:spacing w:before="25" w:after="25"/>
      <w:jc w:val="left"/>
    </w:pPr>
    <w:rPr>
      <w:spacing w:val="10"/>
      <w:kern w:val="0"/>
      <w:sz w:val="24"/>
    </w:rPr>
  </w:style>
  <w:style w:type="paragraph" w:customStyle="1" w:styleId="16">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2025-12-23T06:58:58Z</dcterms:created>
  <dc:creator>Administrator</dc:creator>
  <cp:lastModifiedBy>Administrator</cp:lastModifiedBy>
  <dcterms:modified xsi:type="dcterms:W3CDTF">2025-12-23T06:59:05Z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eyJoZGlkIjoiOWNkMzRlMTg5YWZiYmYyZGZkODUzOGFjMmEzMGIxODEiLCJ1c2VySWQiOiI0MjI3MjQxNjgifQ==</vt:lpwstr>
  </property>
  <property fmtid="{D5CDD505-2E9C-101B-9397-08002B2CF9AE}" pid="4" name="ICV">
    <vt:lpwstr>D9E4D23C559A4FAB90DAFE8BBF494F23_12</vt:lpwstr>
  </property>
</Properties>
</file>